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30CC" w14:textId="397DC34C" w:rsidR="00663B63" w:rsidRPr="00663B63" w:rsidRDefault="00663B63" w:rsidP="00663B63">
      <w:pPr>
        <w:jc w:val="center"/>
        <w:rPr>
          <w:b/>
          <w:bCs/>
          <w:sz w:val="36"/>
          <w:szCs w:val="36"/>
        </w:rPr>
      </w:pPr>
      <w:r w:rsidRPr="00663B63">
        <w:rPr>
          <w:b/>
          <w:bCs/>
          <w:sz w:val="36"/>
          <w:szCs w:val="36"/>
        </w:rPr>
        <w:t xml:space="preserve"> « Archéologie des cultures médiatiques »</w:t>
      </w:r>
    </w:p>
    <w:p w14:paraId="50844B03" w14:textId="77777777" w:rsidR="00663B63" w:rsidRPr="00663B63" w:rsidRDefault="00663B63" w:rsidP="00663B63">
      <w:pPr>
        <w:jc w:val="center"/>
        <w:rPr>
          <w:b/>
          <w:bCs/>
          <w:sz w:val="36"/>
          <w:szCs w:val="36"/>
        </w:rPr>
      </w:pPr>
      <w:r w:rsidRPr="00663B63">
        <w:rPr>
          <w:b/>
          <w:bCs/>
          <w:sz w:val="36"/>
          <w:szCs w:val="36"/>
        </w:rPr>
        <w:t>Appel à propositions d’articles</w:t>
      </w:r>
    </w:p>
    <w:p w14:paraId="606255E7" w14:textId="77777777" w:rsidR="00F94C0D" w:rsidRDefault="00F94C0D" w:rsidP="008D1D0F">
      <w:pPr>
        <w:jc w:val="both"/>
      </w:pPr>
    </w:p>
    <w:p w14:paraId="3B521642" w14:textId="2135E0A5" w:rsidR="00F94C0D" w:rsidRPr="0017051A" w:rsidRDefault="00663B63" w:rsidP="008D1D0F">
      <w:pPr>
        <w:jc w:val="both"/>
      </w:pPr>
      <w:r>
        <w:t>Dossier de la r</w:t>
      </w:r>
      <w:r w:rsidR="00F94C0D">
        <w:t xml:space="preserve">evue </w:t>
      </w:r>
      <w:r w:rsidR="00F94C0D">
        <w:rPr>
          <w:i/>
          <w:iCs/>
        </w:rPr>
        <w:t>Sociétés &amp; Représentations</w:t>
      </w:r>
      <w:r w:rsidR="0017051A">
        <w:t>, n°62 – automne 2026</w:t>
      </w:r>
    </w:p>
    <w:p w14:paraId="320C66DA" w14:textId="77777777" w:rsidR="00F94C0D" w:rsidRDefault="00F94C0D" w:rsidP="008D1D0F">
      <w:pPr>
        <w:jc w:val="both"/>
      </w:pPr>
    </w:p>
    <w:p w14:paraId="7D184E42" w14:textId="79B81215" w:rsidR="00F94C0D" w:rsidRDefault="00F94C0D" w:rsidP="008D1D0F">
      <w:pPr>
        <w:jc w:val="both"/>
      </w:pPr>
      <w:r>
        <w:t>Dirigé par Aurélie Huz et Alice Jacquelin</w:t>
      </w:r>
    </w:p>
    <w:p w14:paraId="33410FF6" w14:textId="6387CDF6" w:rsidR="00F94C0D" w:rsidRDefault="00F94C0D" w:rsidP="008D1D0F">
      <w:pPr>
        <w:jc w:val="both"/>
      </w:pPr>
      <w:hyperlink r:id="rId5" w:history="1">
        <w:r w:rsidRPr="00164FD7">
          <w:rPr>
            <w:rStyle w:val="Lienhypertexte"/>
          </w:rPr>
          <w:t>ahuz@parisnanterre.fr</w:t>
        </w:r>
      </w:hyperlink>
    </w:p>
    <w:p w14:paraId="11184B8D" w14:textId="022E67E7" w:rsidR="00F94C0D" w:rsidRDefault="00F94C0D" w:rsidP="008D1D0F">
      <w:pPr>
        <w:jc w:val="both"/>
      </w:pPr>
      <w:hyperlink r:id="rId6" w:history="1">
        <w:r w:rsidRPr="00164FD7">
          <w:rPr>
            <w:rStyle w:val="Lienhypertexte"/>
          </w:rPr>
          <w:t>ajacquel@parisnanterre.fr</w:t>
        </w:r>
      </w:hyperlink>
    </w:p>
    <w:p w14:paraId="0648BC08" w14:textId="77777777" w:rsidR="001D3EA3" w:rsidRDefault="001D3EA3" w:rsidP="008D1D0F">
      <w:pPr>
        <w:jc w:val="both"/>
      </w:pPr>
    </w:p>
    <w:p w14:paraId="0641FF04" w14:textId="3CB3E558" w:rsidR="00F94C0D" w:rsidRPr="00C8424B" w:rsidRDefault="00F94C0D" w:rsidP="008D1D0F">
      <w:pPr>
        <w:jc w:val="both"/>
        <w:rPr>
          <w:b/>
          <w:bCs/>
        </w:rPr>
      </w:pPr>
      <w:r w:rsidRPr="00C8424B">
        <w:rPr>
          <w:b/>
          <w:bCs/>
        </w:rPr>
        <w:t>Date limite d’envoi des propositions : 15 avril 2025</w:t>
      </w:r>
    </w:p>
    <w:p w14:paraId="66E2D34C" w14:textId="77777777" w:rsidR="00F94C0D" w:rsidRDefault="00F94C0D" w:rsidP="008D1D0F">
      <w:pPr>
        <w:jc w:val="both"/>
      </w:pPr>
    </w:p>
    <w:p w14:paraId="1AFD36E7" w14:textId="77777777" w:rsidR="00310694" w:rsidRDefault="00310694" w:rsidP="008D1D0F">
      <w:pPr>
        <w:jc w:val="both"/>
      </w:pPr>
    </w:p>
    <w:p w14:paraId="5D78364B" w14:textId="53AE7336" w:rsidR="00C95AFF" w:rsidRDefault="006D1157" w:rsidP="008D1D0F">
      <w:pPr>
        <w:jc w:val="both"/>
      </w:pPr>
      <w:r>
        <w:t xml:space="preserve">Depuis le roman-feuilleton, né au </w:t>
      </w:r>
      <w:r w:rsidR="00310694">
        <w:rPr>
          <w:smallCaps/>
        </w:rPr>
        <w:t>xix</w:t>
      </w:r>
      <w:r w:rsidRPr="00310694">
        <w:rPr>
          <w:vertAlign w:val="superscript"/>
        </w:rPr>
        <w:t>e</w:t>
      </w:r>
      <w:r>
        <w:t xml:space="preserve"> siècle </w:t>
      </w:r>
      <w:r w:rsidR="002442E6">
        <w:t>d’une nouvelle forme de</w:t>
      </w:r>
      <w:r>
        <w:t xml:space="preserve"> presse, jusqu’aux séries télévisées du </w:t>
      </w:r>
      <w:r w:rsidR="00310694">
        <w:rPr>
          <w:smallCaps/>
        </w:rPr>
        <w:t>xxi</w:t>
      </w:r>
      <w:r w:rsidRPr="00310694">
        <w:rPr>
          <w:vertAlign w:val="superscript"/>
        </w:rPr>
        <w:t>e</w:t>
      </w:r>
      <w:r>
        <w:t xml:space="preserve"> s</w:t>
      </w:r>
      <w:r w:rsidR="00310694">
        <w:t>iècle</w:t>
      </w:r>
      <w:r>
        <w:t xml:space="preserve">, </w:t>
      </w:r>
      <w:r w:rsidR="00903C4B">
        <w:t xml:space="preserve">remodelées </w:t>
      </w:r>
      <w:r>
        <w:t xml:space="preserve">par le système des plateformes de vidéo à la demande, </w:t>
      </w:r>
      <w:r w:rsidR="002442E6">
        <w:t xml:space="preserve">les dynamiques de la culture médiatique sont indissociables </w:t>
      </w:r>
      <w:r w:rsidR="00B31DE8">
        <w:t>des</w:t>
      </w:r>
      <w:r w:rsidR="002442E6">
        <w:t xml:space="preserve"> transformation</w:t>
      </w:r>
      <w:r w:rsidR="00B31DE8">
        <w:t>s</w:t>
      </w:r>
      <w:r w:rsidR="002442E6">
        <w:t xml:space="preserve"> des médias qui la </w:t>
      </w:r>
      <w:r w:rsidR="00641AB5">
        <w:t xml:space="preserve">diffusent et la </w:t>
      </w:r>
      <w:r w:rsidR="00C8424B">
        <w:t>configurent</w:t>
      </w:r>
      <w:r w:rsidR="002442E6">
        <w:t xml:space="preserve">. </w:t>
      </w:r>
      <w:r w:rsidR="00641AB5">
        <w:t>Ces</w:t>
      </w:r>
      <w:r w:rsidR="005C0028">
        <w:t xml:space="preserve"> médias peuvent aussi bien avoir</w:t>
      </w:r>
      <w:r w:rsidR="002442E6">
        <w:t xml:space="preserve"> </w:t>
      </w:r>
      <w:r w:rsidR="00C95AFF">
        <w:t>acquis une centralité durable dans l’écosystème médiatique (</w:t>
      </w:r>
      <w:r w:rsidR="002442E6">
        <w:t>cinéma</w:t>
      </w:r>
      <w:r w:rsidR="00C95AFF">
        <w:t>, bande dessinée)</w:t>
      </w:r>
      <w:r w:rsidR="002442E6">
        <w:t xml:space="preserve"> ou </w:t>
      </w:r>
      <w:r w:rsidR="005C0028">
        <w:t>n’avoir</w:t>
      </w:r>
      <w:r w:rsidR="00C95AFF">
        <w:t xml:space="preserve"> constitué qu’un moment </w:t>
      </w:r>
      <w:r w:rsidR="009D73DD">
        <w:t xml:space="preserve">relativement bref </w:t>
      </w:r>
      <w:r w:rsidR="00C95AFF">
        <w:t>(Minitel)</w:t>
      </w:r>
      <w:r w:rsidR="00B31DE8">
        <w:t xml:space="preserve">, </w:t>
      </w:r>
      <w:r w:rsidR="005277E5">
        <w:t>effacé</w:t>
      </w:r>
      <w:r w:rsidR="00C95AFF">
        <w:t xml:space="preserve"> (lanterne magique) </w:t>
      </w:r>
      <w:r w:rsidR="00B31DE8">
        <w:t>ou</w:t>
      </w:r>
      <w:r w:rsidR="005277E5">
        <w:t xml:space="preserve"> </w:t>
      </w:r>
      <w:r w:rsidR="00EC3020">
        <w:t xml:space="preserve">désormais </w:t>
      </w:r>
      <w:r w:rsidR="005277E5">
        <w:t>négligé</w:t>
      </w:r>
      <w:r w:rsidR="00B31DE8">
        <w:t xml:space="preserve"> (</w:t>
      </w:r>
      <w:r w:rsidR="005277E5">
        <w:t>cassette audio</w:t>
      </w:r>
      <w:r w:rsidR="00B31DE8">
        <w:t xml:space="preserve">) </w:t>
      </w:r>
      <w:r w:rsidR="002768CC">
        <w:t>de l’histoire des</w:t>
      </w:r>
      <w:r w:rsidR="00C95AFF">
        <w:t xml:space="preserve"> productions culturelles. Dans les deux cas, l’archéologie des médias </w:t>
      </w:r>
      <w:r w:rsidR="00EC3020">
        <w:t>constitue une démarche précieuse</w:t>
      </w:r>
      <w:r w:rsidR="00C95AFF">
        <w:t xml:space="preserve"> </w:t>
      </w:r>
      <w:r w:rsidR="005277E5">
        <w:t xml:space="preserve">pour </w:t>
      </w:r>
      <w:r w:rsidR="00556E96">
        <w:t xml:space="preserve">excaver </w:t>
      </w:r>
      <w:r w:rsidR="005277E5">
        <w:t xml:space="preserve">ces </w:t>
      </w:r>
      <w:r w:rsidR="00EC3020">
        <w:t>réalités médiatiques</w:t>
      </w:r>
      <w:r w:rsidR="005277E5">
        <w:t xml:space="preserve">, </w:t>
      </w:r>
      <w:r w:rsidR="00B31DE8">
        <w:t xml:space="preserve">en retrouver les </w:t>
      </w:r>
      <w:r w:rsidR="00EC3020">
        <w:t>contextes</w:t>
      </w:r>
      <w:r w:rsidR="00B31DE8">
        <w:t xml:space="preserve"> d’époque</w:t>
      </w:r>
      <w:r w:rsidR="005277E5">
        <w:t xml:space="preserve"> et </w:t>
      </w:r>
      <w:r w:rsidR="005277E5" w:rsidRPr="00887658">
        <w:t>désocculter</w:t>
      </w:r>
      <w:r w:rsidR="005277E5">
        <w:t xml:space="preserve"> ainsi </w:t>
      </w:r>
      <w:r w:rsidR="00EC3020">
        <w:t>les</w:t>
      </w:r>
      <w:r w:rsidR="005277E5">
        <w:t xml:space="preserve"> écosystèmes </w:t>
      </w:r>
      <w:r w:rsidR="00EC3020">
        <w:t>de production, de diffusion et de consommation qui donnent sens aux objets de la culture médiatique.</w:t>
      </w:r>
      <w:r w:rsidR="00B31DE8">
        <w:t xml:space="preserve">   </w:t>
      </w:r>
    </w:p>
    <w:p w14:paraId="35CD6AC3" w14:textId="405023BF" w:rsidR="004E6A3B" w:rsidRDefault="00C95AFF" w:rsidP="008D1D0F">
      <w:pPr>
        <w:jc w:val="both"/>
      </w:pPr>
      <w:r>
        <w:t xml:space="preserve">  </w:t>
      </w:r>
    </w:p>
    <w:p w14:paraId="00156716" w14:textId="35D2F81F" w:rsidR="001646B9" w:rsidRDefault="005277E5" w:rsidP="008D1D0F">
      <w:pPr>
        <w:jc w:val="both"/>
      </w:pPr>
      <w:r>
        <w:t xml:space="preserve">Telle qu’elle s’est développée </w:t>
      </w:r>
      <w:r w:rsidR="009D73DD" w:rsidRPr="00310694">
        <w:rPr>
          <w:color w:val="000000" w:themeColor="text1"/>
        </w:rPr>
        <w:t xml:space="preserve">depuis </w:t>
      </w:r>
      <w:r w:rsidR="008A319D" w:rsidRPr="00310694">
        <w:rPr>
          <w:color w:val="000000" w:themeColor="text1"/>
        </w:rPr>
        <w:t>les</w:t>
      </w:r>
      <w:r w:rsidR="009D73DD" w:rsidRPr="00310694">
        <w:rPr>
          <w:color w:val="000000" w:themeColor="text1"/>
        </w:rPr>
        <w:t xml:space="preserve"> années 1990 à l’étranger (Kittler</w:t>
      </w:r>
      <w:r w:rsidR="008A319D" w:rsidRPr="00310694">
        <w:rPr>
          <w:color w:val="000000" w:themeColor="text1"/>
        </w:rPr>
        <w:t xml:space="preserve"> </w:t>
      </w:r>
      <w:r w:rsidR="00352422">
        <w:rPr>
          <w:color w:val="000000" w:themeColor="text1"/>
        </w:rPr>
        <w:t>[</w:t>
      </w:r>
      <w:r w:rsidR="009D73DD" w:rsidRPr="00310694">
        <w:rPr>
          <w:color w:val="000000" w:themeColor="text1"/>
        </w:rPr>
        <w:t>1986</w:t>
      </w:r>
      <w:r w:rsidR="00352422">
        <w:rPr>
          <w:color w:val="000000" w:themeColor="text1"/>
        </w:rPr>
        <w:t>] 2018</w:t>
      </w:r>
      <w:r w:rsidR="008A319D" w:rsidRPr="00310694">
        <w:rPr>
          <w:color w:val="000000" w:themeColor="text1"/>
        </w:rPr>
        <w:t xml:space="preserve">, </w:t>
      </w:r>
      <w:r w:rsidR="009D73DD" w:rsidRPr="00310694">
        <w:rPr>
          <w:color w:val="000000" w:themeColor="text1"/>
        </w:rPr>
        <w:t xml:space="preserve">Crary </w:t>
      </w:r>
      <w:r w:rsidR="00563911">
        <w:rPr>
          <w:color w:val="000000" w:themeColor="text1"/>
        </w:rPr>
        <w:t>1999</w:t>
      </w:r>
      <w:r w:rsidR="008A319D" w:rsidRPr="00310694">
        <w:rPr>
          <w:color w:val="000000" w:themeColor="text1"/>
        </w:rPr>
        <w:t xml:space="preserve">, </w:t>
      </w:r>
      <w:r w:rsidR="009D73DD" w:rsidRPr="00310694">
        <w:rPr>
          <w:color w:val="000000" w:themeColor="text1"/>
        </w:rPr>
        <w:t>Gunning [1990]</w:t>
      </w:r>
      <w:r w:rsidR="00563911">
        <w:rPr>
          <w:color w:val="000000" w:themeColor="text1"/>
        </w:rPr>
        <w:t xml:space="preserve"> 2006</w:t>
      </w:r>
      <w:r w:rsidR="008A319D" w:rsidRPr="00310694">
        <w:rPr>
          <w:color w:val="000000" w:themeColor="text1"/>
        </w:rPr>
        <w:t xml:space="preserve">, </w:t>
      </w:r>
      <w:r w:rsidR="009D73DD" w:rsidRPr="00310694">
        <w:rPr>
          <w:color w:val="000000" w:themeColor="text1"/>
        </w:rPr>
        <w:t>Ernst</w:t>
      </w:r>
      <w:r w:rsidR="00563911">
        <w:rPr>
          <w:color w:val="000000" w:themeColor="text1"/>
        </w:rPr>
        <w:t xml:space="preserve"> </w:t>
      </w:r>
      <w:r w:rsidR="009D73DD" w:rsidRPr="00310694">
        <w:rPr>
          <w:color w:val="000000" w:themeColor="text1"/>
        </w:rPr>
        <w:t>2005</w:t>
      </w:r>
      <w:r w:rsidR="008A319D" w:rsidRPr="00310694">
        <w:rPr>
          <w:color w:val="000000" w:themeColor="text1"/>
        </w:rPr>
        <w:t xml:space="preserve">, </w:t>
      </w:r>
      <w:r w:rsidR="00563911">
        <w:rPr>
          <w:color w:val="000000" w:themeColor="text1"/>
        </w:rPr>
        <w:t xml:space="preserve">Gitelman 2006, </w:t>
      </w:r>
      <w:r w:rsidR="009D73DD" w:rsidRPr="00310694">
        <w:rPr>
          <w:color w:val="000000" w:themeColor="text1"/>
        </w:rPr>
        <w:t>Zielinski</w:t>
      </w:r>
      <w:r w:rsidR="00563911">
        <w:rPr>
          <w:color w:val="000000" w:themeColor="text1"/>
        </w:rPr>
        <w:t xml:space="preserve"> [2002]</w:t>
      </w:r>
      <w:r w:rsidR="009D73DD" w:rsidRPr="00310694">
        <w:rPr>
          <w:color w:val="000000" w:themeColor="text1"/>
        </w:rPr>
        <w:t xml:space="preserve"> 2006</w:t>
      </w:r>
      <w:r w:rsidR="008A319D" w:rsidRPr="00310694">
        <w:rPr>
          <w:color w:val="000000" w:themeColor="text1"/>
        </w:rPr>
        <w:t xml:space="preserve">, </w:t>
      </w:r>
      <w:r w:rsidR="009D73DD" w:rsidRPr="00310694">
        <w:rPr>
          <w:color w:val="000000" w:themeColor="text1"/>
        </w:rPr>
        <w:t>Huhtamo</w:t>
      </w:r>
      <w:r w:rsidR="00563911">
        <w:rPr>
          <w:color w:val="000000" w:themeColor="text1"/>
        </w:rPr>
        <w:t xml:space="preserve"> &amp; </w:t>
      </w:r>
      <w:r w:rsidR="009D73DD" w:rsidRPr="00310694">
        <w:rPr>
          <w:color w:val="000000" w:themeColor="text1"/>
        </w:rPr>
        <w:t>Parikka</w:t>
      </w:r>
      <w:r w:rsidR="00563911">
        <w:rPr>
          <w:color w:val="000000" w:themeColor="text1"/>
        </w:rPr>
        <w:t xml:space="preserve"> </w:t>
      </w:r>
      <w:r w:rsidR="009D73DD" w:rsidRPr="00310694">
        <w:rPr>
          <w:color w:val="000000" w:themeColor="text1"/>
        </w:rPr>
        <w:t>2011</w:t>
      </w:r>
      <w:r w:rsidR="008A319D" w:rsidRPr="00310694">
        <w:rPr>
          <w:color w:val="000000" w:themeColor="text1"/>
        </w:rPr>
        <w:t xml:space="preserve">, </w:t>
      </w:r>
      <w:r w:rsidR="009D73DD" w:rsidRPr="00310694">
        <w:rPr>
          <w:color w:val="000000" w:themeColor="text1"/>
        </w:rPr>
        <w:t xml:space="preserve">Parikka </w:t>
      </w:r>
      <w:r w:rsidR="00563911">
        <w:rPr>
          <w:color w:val="000000" w:themeColor="text1"/>
        </w:rPr>
        <w:t>[</w:t>
      </w:r>
      <w:r w:rsidR="009D73DD" w:rsidRPr="00310694">
        <w:rPr>
          <w:color w:val="000000" w:themeColor="text1"/>
        </w:rPr>
        <w:t>2012</w:t>
      </w:r>
      <w:r w:rsidR="00563911">
        <w:rPr>
          <w:color w:val="000000" w:themeColor="text1"/>
        </w:rPr>
        <w:t>] 2017</w:t>
      </w:r>
      <w:r w:rsidR="009D73DD" w:rsidRPr="00310694">
        <w:rPr>
          <w:color w:val="000000" w:themeColor="text1"/>
        </w:rPr>
        <w:t>) et plus récemment dans les pays francophones (Baetens</w:t>
      </w:r>
      <w:r w:rsidR="00563911">
        <w:rPr>
          <w:color w:val="000000" w:themeColor="text1"/>
        </w:rPr>
        <w:t xml:space="preserve"> </w:t>
      </w:r>
      <w:r w:rsidR="009D73DD" w:rsidRPr="00310694">
        <w:rPr>
          <w:color w:val="000000" w:themeColor="text1"/>
        </w:rPr>
        <w:t>2014</w:t>
      </w:r>
      <w:r w:rsidR="0017282F" w:rsidRPr="00310694">
        <w:rPr>
          <w:color w:val="000000" w:themeColor="text1"/>
        </w:rPr>
        <w:t xml:space="preserve">, </w:t>
      </w:r>
      <w:r w:rsidR="009D73DD" w:rsidRPr="00310694">
        <w:rPr>
          <w:color w:val="000000" w:themeColor="text1"/>
        </w:rPr>
        <w:t>Guez 2014</w:t>
      </w:r>
      <w:r w:rsidR="0017282F" w:rsidRPr="00310694">
        <w:rPr>
          <w:color w:val="000000" w:themeColor="text1"/>
        </w:rPr>
        <w:t xml:space="preserve">, </w:t>
      </w:r>
      <w:r w:rsidR="009D73DD" w:rsidRPr="00310694">
        <w:rPr>
          <w:color w:val="000000" w:themeColor="text1"/>
        </w:rPr>
        <w:t>Bardini 2016</w:t>
      </w:r>
      <w:r w:rsidR="0017282F" w:rsidRPr="00310694">
        <w:rPr>
          <w:color w:val="000000" w:themeColor="text1"/>
        </w:rPr>
        <w:t xml:space="preserve">, </w:t>
      </w:r>
      <w:r w:rsidR="009D73DD" w:rsidRPr="00310694">
        <w:rPr>
          <w:color w:val="000000" w:themeColor="text1"/>
        </w:rPr>
        <w:t xml:space="preserve">Citton </w:t>
      </w:r>
      <w:r w:rsidR="00011F37">
        <w:rPr>
          <w:color w:val="000000" w:themeColor="text1"/>
        </w:rPr>
        <w:t>&amp;</w:t>
      </w:r>
      <w:r w:rsidR="009D73DD" w:rsidRPr="00310694">
        <w:rPr>
          <w:color w:val="000000" w:themeColor="text1"/>
        </w:rPr>
        <w:t xml:space="preserve"> Doudet 2019), </w:t>
      </w:r>
      <w:r>
        <w:t xml:space="preserve">l’archéologie des médias </w:t>
      </w:r>
      <w:r w:rsidR="00EC3020">
        <w:t xml:space="preserve">pose une intention </w:t>
      </w:r>
      <w:r w:rsidR="00576F2B">
        <w:t>théorique</w:t>
      </w:r>
      <w:r w:rsidR="00EC3020">
        <w:t xml:space="preserve"> claire :</w:t>
      </w:r>
      <w:r w:rsidR="00EE09E3">
        <w:t xml:space="preserve"> s’arracher à l’illusion téléologique d’une histoire</w:t>
      </w:r>
      <w:r w:rsidR="00F81191">
        <w:t xml:space="preserve"> linéaire et successive envisageant</w:t>
      </w:r>
      <w:r w:rsidR="00EE09E3">
        <w:t xml:space="preserve"> </w:t>
      </w:r>
      <w:r w:rsidR="00F81191">
        <w:t>les</w:t>
      </w:r>
      <w:r w:rsidR="00EC3020">
        <w:t xml:space="preserve"> médias</w:t>
      </w:r>
      <w:r w:rsidR="00576F2B">
        <w:t xml:space="preserve"> </w:t>
      </w:r>
      <w:r w:rsidR="00EE09E3">
        <w:t>du</w:t>
      </w:r>
      <w:r w:rsidR="00F81191">
        <w:t xml:space="preserve"> seul</w:t>
      </w:r>
      <w:r w:rsidR="00EE09E3">
        <w:t xml:space="preserve"> point de vue</w:t>
      </w:r>
      <w:r w:rsidR="007D3BF2">
        <w:t xml:space="preserve"> </w:t>
      </w:r>
      <w:r w:rsidR="00EE09E3">
        <w:t xml:space="preserve">de leur devenir – donc </w:t>
      </w:r>
      <w:r w:rsidR="00EC3020">
        <w:t>depuis un</w:t>
      </w:r>
      <w:r w:rsidR="00EE09E3">
        <w:t xml:space="preserve"> présent qui a</w:t>
      </w:r>
      <w:r w:rsidR="00EC3020">
        <w:t>urait</w:t>
      </w:r>
      <w:r w:rsidR="00EE09E3">
        <w:t xml:space="preserve"> valeur d’évidence</w:t>
      </w:r>
      <w:r w:rsidR="00EC3020">
        <w:t xml:space="preserve">. À l’inverse, </w:t>
      </w:r>
      <w:r w:rsidR="00EE09E3">
        <w:t xml:space="preserve">la démarche archéologique </w:t>
      </w:r>
      <w:r w:rsidR="00AF329B">
        <w:t>cherche</w:t>
      </w:r>
      <w:r w:rsidR="00513657">
        <w:t xml:space="preserve"> à</w:t>
      </w:r>
      <w:r w:rsidR="00EE09E3">
        <w:t xml:space="preserve"> restituer</w:t>
      </w:r>
      <w:r w:rsidR="00513657">
        <w:t xml:space="preserve"> sans déterminisme </w:t>
      </w:r>
      <w:r w:rsidR="00EE09E3">
        <w:t xml:space="preserve">la complexité d’un passé protéiforme dont </w:t>
      </w:r>
      <w:r w:rsidR="00576F2B">
        <w:t>l’avenir</w:t>
      </w:r>
      <w:r w:rsidR="00EE09E3">
        <w:t xml:space="preserve"> ne serait pas déjà joué</w:t>
      </w:r>
      <w:r w:rsidR="00513657">
        <w:t xml:space="preserve">, et </w:t>
      </w:r>
      <w:r w:rsidR="00AF329B">
        <w:t>qui se révèle alors</w:t>
      </w:r>
      <w:r w:rsidR="00513657">
        <w:t xml:space="preserve"> souvent pluriel, confus </w:t>
      </w:r>
      <w:r w:rsidR="001646B9">
        <w:t>voire</w:t>
      </w:r>
      <w:r w:rsidR="00513657">
        <w:t xml:space="preserve"> </w:t>
      </w:r>
      <w:r w:rsidR="001646B9">
        <w:t>étranger</w:t>
      </w:r>
      <w:r w:rsidR="00513657">
        <w:t>.</w:t>
      </w:r>
      <w:r w:rsidR="00576F2B">
        <w:t xml:space="preserve"> S’arrachant </w:t>
      </w:r>
      <w:r w:rsidR="002768CC">
        <w:t>aux</w:t>
      </w:r>
      <w:r w:rsidR="00513657">
        <w:t xml:space="preserve"> modèles contemporains</w:t>
      </w:r>
      <w:r w:rsidR="00576F2B">
        <w:t>, le geste d’exhumation cible un</w:t>
      </w:r>
      <w:r w:rsidR="009B1596">
        <w:t xml:space="preserve"> passé </w:t>
      </w:r>
      <w:r w:rsidR="00621447">
        <w:t xml:space="preserve">médiatique </w:t>
      </w:r>
      <w:r w:rsidR="009B1596" w:rsidRPr="001B3A0D">
        <w:rPr>
          <w:i/>
          <w:iCs/>
        </w:rPr>
        <w:t>recouvert</w:t>
      </w:r>
      <w:r w:rsidR="009B1596">
        <w:t xml:space="preserve"> – par </w:t>
      </w:r>
      <w:r w:rsidR="001646B9">
        <w:t>la disparition matérielle</w:t>
      </w:r>
      <w:r w:rsidR="00576F2B">
        <w:t xml:space="preserve">, l’effacement </w:t>
      </w:r>
      <w:r w:rsidR="001B3A0D">
        <w:t>mémoriel</w:t>
      </w:r>
      <w:r w:rsidR="009B1596">
        <w:t>,</w:t>
      </w:r>
      <w:r w:rsidR="001646B9">
        <w:t xml:space="preserve"> </w:t>
      </w:r>
      <w:r w:rsidR="00576F2B">
        <w:t xml:space="preserve">la </w:t>
      </w:r>
      <w:r w:rsidR="00CD3E31">
        <w:t>délégitimation</w:t>
      </w:r>
      <w:r w:rsidR="00576F2B">
        <w:t xml:space="preserve"> critique</w:t>
      </w:r>
      <w:r w:rsidR="009B1596">
        <w:t>,</w:t>
      </w:r>
      <w:r w:rsidR="00576F2B">
        <w:t xml:space="preserve"> les biais de la relecture historique, le désintérêt de la recherche, etc. – pour en faire</w:t>
      </w:r>
      <w:r w:rsidR="009B1596">
        <w:t xml:space="preserve"> un passé </w:t>
      </w:r>
      <w:r w:rsidR="009B1596" w:rsidRPr="001B3A0D">
        <w:rPr>
          <w:i/>
          <w:iCs/>
        </w:rPr>
        <w:t>découvert</w:t>
      </w:r>
      <w:r w:rsidR="00621447">
        <w:t xml:space="preserve"> </w:t>
      </w:r>
      <w:r w:rsidR="001B3A0D">
        <w:t xml:space="preserve">ou </w:t>
      </w:r>
      <w:r w:rsidR="001B3A0D" w:rsidRPr="001B3A0D">
        <w:rPr>
          <w:i/>
          <w:iCs/>
        </w:rPr>
        <w:t>redécouvert</w:t>
      </w:r>
      <w:r w:rsidR="00576F2B">
        <w:t xml:space="preserve">. </w:t>
      </w:r>
      <w:r w:rsidR="00B97F0D">
        <w:t>Une telle entreprise</w:t>
      </w:r>
      <w:r w:rsidR="009D73DD">
        <w:t xml:space="preserve"> de défamiliarisation du regard de recherche</w:t>
      </w:r>
      <w:r w:rsidR="00576F2B">
        <w:t xml:space="preserve"> oblige à </w:t>
      </w:r>
      <w:r w:rsidR="00863AB9">
        <w:t xml:space="preserve">des changements de méthode : </w:t>
      </w:r>
      <w:r w:rsidR="002768CC">
        <w:t>révéler l’importance d</w:t>
      </w:r>
      <w:r w:rsidR="00863AB9">
        <w:t xml:space="preserve">es </w:t>
      </w:r>
      <w:r w:rsidR="00641AB5">
        <w:t>« vaincus » de l’histoire</w:t>
      </w:r>
      <w:r w:rsidR="00863AB9">
        <w:t xml:space="preserve">, ces médias aujourd’hui mineurs ou désuets, mais </w:t>
      </w:r>
      <w:r w:rsidR="002768CC">
        <w:t xml:space="preserve">dominants </w:t>
      </w:r>
      <w:r w:rsidR="00863AB9">
        <w:t>en leur temps</w:t>
      </w:r>
      <w:r w:rsidR="002768CC">
        <w:t> ; réévaluer</w:t>
      </w:r>
      <w:r w:rsidR="00863AB9">
        <w:t xml:space="preserve"> </w:t>
      </w:r>
      <w:r w:rsidR="00B97F0D">
        <w:t xml:space="preserve">à l’inverse </w:t>
      </w:r>
      <w:r w:rsidR="002768CC">
        <w:t>d</w:t>
      </w:r>
      <w:r w:rsidR="00863AB9">
        <w:t>es médias</w:t>
      </w:r>
      <w:r w:rsidR="00B97F0D">
        <w:t xml:space="preserve"> plus</w:t>
      </w:r>
      <w:r w:rsidR="00863AB9" w:rsidRPr="00863AB9">
        <w:t xml:space="preserve"> </w:t>
      </w:r>
      <w:r w:rsidR="00B97F0D">
        <w:t xml:space="preserve">familiers ou </w:t>
      </w:r>
      <w:r w:rsidR="002768CC">
        <w:t xml:space="preserve">mieux </w:t>
      </w:r>
      <w:r w:rsidR="00B97F0D">
        <w:t xml:space="preserve">étudiés </w:t>
      </w:r>
      <w:r w:rsidR="00863AB9">
        <w:t xml:space="preserve">pour en </w:t>
      </w:r>
      <w:r w:rsidR="00887658">
        <w:t xml:space="preserve">révéler </w:t>
      </w:r>
      <w:r w:rsidR="002768CC">
        <w:t>d</w:t>
      </w:r>
      <w:r w:rsidR="00863AB9">
        <w:t>es aspects méconnus</w:t>
      </w:r>
      <w:r w:rsidR="00B97F0D">
        <w:t> </w:t>
      </w:r>
      <w:r w:rsidR="00863AB9">
        <w:t xml:space="preserve">; </w:t>
      </w:r>
      <w:r w:rsidR="00576F2B">
        <w:t>a</w:t>
      </w:r>
      <w:r w:rsidR="00621447">
        <w:t>bandonner</w:t>
      </w:r>
      <w:r w:rsidR="001B3A0D">
        <w:t xml:space="preserve"> </w:t>
      </w:r>
      <w:r w:rsidR="009B1596">
        <w:t xml:space="preserve">l’obsession </w:t>
      </w:r>
      <w:r w:rsidR="00621447">
        <w:t>pour les</w:t>
      </w:r>
      <w:r w:rsidR="009B1596">
        <w:t xml:space="preserve"> </w:t>
      </w:r>
      <w:r w:rsidR="00576F2B">
        <w:t>« </w:t>
      </w:r>
      <w:r w:rsidR="009B1596">
        <w:t>précurseurs</w:t>
      </w:r>
      <w:r w:rsidR="00576F2B">
        <w:t> » ou la « préhistoire »</w:t>
      </w:r>
      <w:r w:rsidR="00863AB9">
        <w:t xml:space="preserve"> des médias modernes</w:t>
      </w:r>
      <w:r w:rsidR="002768CC">
        <w:t xml:space="preserve"> et suivre plutôt </w:t>
      </w:r>
      <w:r w:rsidR="001A6135">
        <w:t>le fil de « séries culturelles » hétérochrones et contrastées (Gaudreault</w:t>
      </w:r>
      <w:r w:rsidR="009D73DD">
        <w:t xml:space="preserve"> </w:t>
      </w:r>
      <w:r w:rsidR="00641AB5">
        <w:t>&amp;</w:t>
      </w:r>
      <w:r w:rsidR="001A6135">
        <w:t xml:space="preserve"> Marion</w:t>
      </w:r>
      <w:r w:rsidR="009D73DD">
        <w:t xml:space="preserve"> 2006</w:t>
      </w:r>
      <w:r w:rsidR="001A6135">
        <w:t>)</w:t>
      </w:r>
      <w:r w:rsidR="00863AB9">
        <w:t xml:space="preserve"> ; </w:t>
      </w:r>
      <w:r w:rsidR="001646B9">
        <w:t>jouer le jeu uchronique</w:t>
      </w:r>
      <w:r w:rsidR="001B3A0D">
        <w:t xml:space="preserve"> </w:t>
      </w:r>
      <w:r w:rsidR="001646B9">
        <w:t>des histoires alternatives</w:t>
      </w:r>
      <w:r w:rsidR="00863AB9">
        <w:t xml:space="preserve"> pour </w:t>
      </w:r>
      <w:r w:rsidR="00B97F0D">
        <w:t>penser</w:t>
      </w:r>
      <w:r w:rsidR="00863AB9">
        <w:t xml:space="preserve"> dans le passé des </w:t>
      </w:r>
      <w:r w:rsidR="001646B9">
        <w:t>possibles non advenus</w:t>
      </w:r>
      <w:r w:rsidR="009D73DD">
        <w:t> ; traquer</w:t>
      </w:r>
      <w:r w:rsidR="009B1596">
        <w:t xml:space="preserve"> </w:t>
      </w:r>
      <w:r w:rsidR="00863AB9">
        <w:t>des</w:t>
      </w:r>
      <w:r w:rsidR="009B1596">
        <w:t xml:space="preserve"> </w:t>
      </w:r>
      <w:r w:rsidR="000E2293">
        <w:t xml:space="preserve">survivances insoupçonnées </w:t>
      </w:r>
      <w:r w:rsidR="009B1596">
        <w:t>du passé dans le présent</w:t>
      </w:r>
      <w:r w:rsidR="00B72EC5">
        <w:t>.</w:t>
      </w:r>
    </w:p>
    <w:p w14:paraId="57853CDC" w14:textId="77777777" w:rsidR="00B97F0D" w:rsidRDefault="00B97F0D" w:rsidP="008D1D0F">
      <w:pPr>
        <w:jc w:val="both"/>
      </w:pPr>
    </w:p>
    <w:p w14:paraId="45F3AEA4" w14:textId="471AF764" w:rsidR="006911D3" w:rsidRDefault="00B72EC5" w:rsidP="008D1D0F">
      <w:pPr>
        <w:jc w:val="both"/>
      </w:pPr>
      <w:r>
        <w:t xml:space="preserve">On comprend alors combien </w:t>
      </w:r>
      <w:r w:rsidRPr="00E05EFC">
        <w:t>importe et apporte</w:t>
      </w:r>
      <w:r>
        <w:t xml:space="preserve"> l’archéologie des médias à l’étude globale de la culture médiatique. En effet, un tel chantier de fouilles </w:t>
      </w:r>
      <w:r w:rsidR="00E05EFC">
        <w:t xml:space="preserve">promet d’éclairer </w:t>
      </w:r>
      <w:r w:rsidR="00903C4B">
        <w:t>sur pièces</w:t>
      </w:r>
      <w:r w:rsidR="00E05EFC">
        <w:t xml:space="preserve"> comment</w:t>
      </w:r>
      <w:r>
        <w:t xml:space="preserve"> cette culture </w:t>
      </w:r>
      <w:r w:rsidR="00E05EFC">
        <w:t>se trouve</w:t>
      </w:r>
      <w:r>
        <w:t xml:space="preserve"> déterminée</w:t>
      </w:r>
      <w:r w:rsidR="00E05EFC">
        <w:t>, à tous ses niveaux,</w:t>
      </w:r>
      <w:r>
        <w:t xml:space="preserve"> par </w:t>
      </w:r>
      <w:r w:rsidR="00E05EFC">
        <w:t xml:space="preserve">des conditions médiatiques spécifiques qu’il faut prendre en compte pour comprendre la manière dont elle produit des </w:t>
      </w:r>
      <w:r w:rsidR="00695BC6">
        <w:t>significations</w:t>
      </w:r>
      <w:r w:rsidR="00502287">
        <w:t xml:space="preserve">, </w:t>
      </w:r>
      <w:r w:rsidR="00E05EFC">
        <w:t xml:space="preserve">des </w:t>
      </w:r>
      <w:r w:rsidR="00805E6B">
        <w:t xml:space="preserve">pratiques, </w:t>
      </w:r>
      <w:r w:rsidR="00E05EFC">
        <w:t>des sociabilités, des imaginaires</w:t>
      </w:r>
      <w:r w:rsidR="00695BC6">
        <w:t xml:space="preserve"> ou</w:t>
      </w:r>
      <w:r w:rsidR="00805E6B">
        <w:t xml:space="preserve"> des croyances</w:t>
      </w:r>
      <w:r w:rsidR="00E05EFC">
        <w:t xml:space="preserve">. </w:t>
      </w:r>
      <w:r w:rsidR="002768CC">
        <w:t xml:space="preserve">Le présent </w:t>
      </w:r>
      <w:r w:rsidR="002768CC">
        <w:lastRenderedPageBreak/>
        <w:t xml:space="preserve">dossier veut s’inscrire à cet égard dans la continuité de travaux existants et </w:t>
      </w:r>
      <w:r w:rsidR="00286E96">
        <w:t>emprunter</w:t>
      </w:r>
      <w:r w:rsidR="002768CC">
        <w:t xml:space="preserve"> plusieurs perspectives</w:t>
      </w:r>
      <w:r w:rsidR="00C074AC">
        <w:t xml:space="preserve"> qui toutes, découlent d’une attention centrée sur les objets médiatiques.  </w:t>
      </w:r>
    </w:p>
    <w:p w14:paraId="2271A2C4" w14:textId="631D2A9C" w:rsidR="006911D3" w:rsidRPr="008D1D0F" w:rsidRDefault="00286E96" w:rsidP="008D1D0F">
      <w:pPr>
        <w:jc w:val="both"/>
      </w:pPr>
      <w:r>
        <w:t>La</w:t>
      </w:r>
      <w:r w:rsidR="008B3620">
        <w:t xml:space="preserve"> </w:t>
      </w:r>
      <w:r w:rsidR="008B3620" w:rsidRPr="004F20FE">
        <w:t xml:space="preserve">matérialité des </w:t>
      </w:r>
      <w:r w:rsidR="00053F8B" w:rsidRPr="004F20FE">
        <w:t>objets</w:t>
      </w:r>
      <w:r w:rsidR="008B3620">
        <w:t xml:space="preserve"> </w:t>
      </w:r>
      <w:r>
        <w:t>y</w:t>
      </w:r>
      <w:r w:rsidR="008B3620">
        <w:t xml:space="preserve"> constitue un terrain </w:t>
      </w:r>
      <w:r w:rsidR="002768CC">
        <w:t>important</w:t>
      </w:r>
      <w:r w:rsidR="001A6135">
        <w:t>, qui englobe les dispositifs, les techniques et les supports</w:t>
      </w:r>
      <w:r w:rsidR="00053F8B">
        <w:t xml:space="preserve">. </w:t>
      </w:r>
      <w:r w:rsidR="00F83947">
        <w:t>T</w:t>
      </w:r>
      <w:r w:rsidR="003773E0">
        <w:t xml:space="preserve">out média </w:t>
      </w:r>
      <w:r w:rsidR="00053F8B">
        <w:t>pose la question de l’articulation entre des contraintes matérielles et des possibilités expressives</w:t>
      </w:r>
      <w:r w:rsidR="003773E0">
        <w:t>, dont les enjeux nous sont parfois devenus obscurs</w:t>
      </w:r>
      <w:r w:rsidR="00053F8B">
        <w:t>. Ainsi, les projections de lanterne magique</w:t>
      </w:r>
      <w:r w:rsidR="001A6135">
        <w:t>, reposant sur</w:t>
      </w:r>
      <w:r w:rsidR="00AA4688">
        <w:t xml:space="preserve"> l’enchaînement </w:t>
      </w:r>
      <w:r w:rsidR="001A6135">
        <w:t>d’images fixes</w:t>
      </w:r>
      <w:r w:rsidR="00053F8B">
        <w:t xml:space="preserve">, </w:t>
      </w:r>
      <w:r w:rsidR="001A6135">
        <w:t xml:space="preserve">impliquent </w:t>
      </w:r>
      <w:r w:rsidR="009D73DD">
        <w:t xml:space="preserve">une performance et </w:t>
      </w:r>
      <w:r w:rsidR="001A6135">
        <w:t>des gestes techniques</w:t>
      </w:r>
      <w:r w:rsidR="009D73DD">
        <w:t xml:space="preserve">, </w:t>
      </w:r>
      <w:r w:rsidR="00053F8B">
        <w:t xml:space="preserve">comme </w:t>
      </w:r>
      <w:r w:rsidR="00AA4688">
        <w:t>le défilement ou les</w:t>
      </w:r>
      <w:r w:rsidR="00053F8B">
        <w:t xml:space="preserve"> vues fondantes</w:t>
      </w:r>
      <w:r w:rsidR="009D73DD">
        <w:t>,</w:t>
      </w:r>
      <w:r w:rsidR="00053F8B">
        <w:t xml:space="preserve"> qui</w:t>
      </w:r>
      <w:r w:rsidR="00AA4688">
        <w:t xml:space="preserve"> </w:t>
      </w:r>
      <w:r w:rsidR="009D73DD">
        <w:t xml:space="preserve">actualisent </w:t>
      </w:r>
      <w:r w:rsidR="001A6135">
        <w:t>certain</w:t>
      </w:r>
      <w:r w:rsidR="002768CC">
        <w:t xml:space="preserve">es </w:t>
      </w:r>
      <w:r w:rsidR="00AA4688">
        <w:t>options narratives</w:t>
      </w:r>
      <w:r w:rsidR="002768CC">
        <w:t xml:space="preserve"> et </w:t>
      </w:r>
      <w:r w:rsidR="009C4604">
        <w:t xml:space="preserve">spectaculaires </w:t>
      </w:r>
      <w:r w:rsidR="009D73DD">
        <w:t>de l’objet</w:t>
      </w:r>
      <w:r w:rsidR="00AA4688">
        <w:t xml:space="preserve"> </w:t>
      </w:r>
      <w:r w:rsidR="00053F8B">
        <w:t>(F</w:t>
      </w:r>
      <w:r w:rsidR="009D73DD">
        <w:t>e</w:t>
      </w:r>
      <w:r w:rsidR="00053F8B">
        <w:t>vry</w:t>
      </w:r>
      <w:r w:rsidR="009D73DD">
        <w:t xml:space="preserve"> et Marion 2022</w:t>
      </w:r>
      <w:r w:rsidR="00AA4688">
        <w:t xml:space="preserve">). </w:t>
      </w:r>
      <w:r w:rsidR="002768CC">
        <w:t>L</w:t>
      </w:r>
      <w:r w:rsidR="003773E0">
        <w:t>’étude</w:t>
      </w:r>
      <w:r w:rsidR="001A6135">
        <w:t xml:space="preserve"> généalogique</w:t>
      </w:r>
      <w:r w:rsidR="003773E0">
        <w:t xml:space="preserve"> </w:t>
      </w:r>
      <w:r w:rsidR="001A6135">
        <w:t xml:space="preserve">éclaire </w:t>
      </w:r>
      <w:r w:rsidR="002768CC">
        <w:t xml:space="preserve">quant à elle comment le tout premier cinéma, identifié ainsi à partir de critères techniques modernes, s’inscrit en son temps </w:t>
      </w:r>
      <w:r w:rsidR="00E90141">
        <w:t>dans un continuum</w:t>
      </w:r>
      <w:r w:rsidR="001A6135">
        <w:t xml:space="preserve"> </w:t>
      </w:r>
      <w:r w:rsidR="002768CC">
        <w:t xml:space="preserve">peu différencié </w:t>
      </w:r>
      <w:r w:rsidR="001A6135">
        <w:t xml:space="preserve">de pratiques </w:t>
      </w:r>
      <w:r w:rsidR="009C4604">
        <w:t>attractionnelles</w:t>
      </w:r>
      <w:r w:rsidR="0012728D">
        <w:t xml:space="preserve"> (pantomime lumineuse, lanterne magique, kinétoscope</w:t>
      </w:r>
      <w:r w:rsidR="009C4604">
        <w:t>, spectacles de variétés, illusions</w:t>
      </w:r>
      <w:r w:rsidR="0012728D">
        <w:t>)</w:t>
      </w:r>
      <w:r w:rsidR="009C4604">
        <w:t xml:space="preserve">, </w:t>
      </w:r>
      <w:r w:rsidR="002768CC">
        <w:t>sans</w:t>
      </w:r>
      <w:r w:rsidR="00E90141">
        <w:t xml:space="preserve"> régime expressif </w:t>
      </w:r>
      <w:r w:rsidR="00E90141" w:rsidRPr="00C8424B">
        <w:rPr>
          <w:color w:val="000000" w:themeColor="text1"/>
        </w:rPr>
        <w:t xml:space="preserve">distinct </w:t>
      </w:r>
      <w:r w:rsidR="009C4604" w:rsidRPr="00C8424B">
        <w:rPr>
          <w:color w:val="000000" w:themeColor="text1"/>
        </w:rPr>
        <w:t xml:space="preserve">ni intérêt narratif dominant </w:t>
      </w:r>
      <w:r w:rsidR="00E90141" w:rsidRPr="00C8424B">
        <w:rPr>
          <w:color w:val="000000" w:themeColor="text1"/>
        </w:rPr>
        <w:t>(</w:t>
      </w:r>
      <w:r w:rsidR="009C4604" w:rsidRPr="00C8424B">
        <w:rPr>
          <w:color w:val="000000" w:themeColor="text1"/>
        </w:rPr>
        <w:t>Gunning</w:t>
      </w:r>
      <w:r w:rsidR="004F20FE">
        <w:rPr>
          <w:color w:val="000000" w:themeColor="text1"/>
        </w:rPr>
        <w:t xml:space="preserve"> </w:t>
      </w:r>
      <w:r w:rsidR="009C4604" w:rsidRPr="00C8424B">
        <w:rPr>
          <w:color w:val="000000" w:themeColor="text1"/>
        </w:rPr>
        <w:t>2006</w:t>
      </w:r>
      <w:r w:rsidR="004F20FE">
        <w:rPr>
          <w:color w:val="000000" w:themeColor="text1"/>
        </w:rPr>
        <w:t>,</w:t>
      </w:r>
      <w:r w:rsidR="009C4604" w:rsidRPr="00C8424B">
        <w:rPr>
          <w:color w:val="000000" w:themeColor="text1"/>
        </w:rPr>
        <w:t xml:space="preserve"> Gaudreault </w:t>
      </w:r>
      <w:r w:rsidR="004F20FE">
        <w:rPr>
          <w:color w:val="000000" w:themeColor="text1"/>
        </w:rPr>
        <w:t>2008</w:t>
      </w:r>
      <w:r w:rsidR="00E90141" w:rsidRPr="00C8424B">
        <w:rPr>
          <w:color w:val="000000" w:themeColor="text1"/>
        </w:rPr>
        <w:t>).</w:t>
      </w:r>
      <w:r w:rsidR="0012728D" w:rsidRPr="00C8424B">
        <w:rPr>
          <w:color w:val="000000" w:themeColor="text1"/>
        </w:rPr>
        <w:t xml:space="preserve"> </w:t>
      </w:r>
      <w:r w:rsidR="009C4604" w:rsidRPr="00C8424B">
        <w:rPr>
          <w:color w:val="000000" w:themeColor="text1"/>
        </w:rPr>
        <w:t>Ressaisir les techniques dans leurs contextes matériels</w:t>
      </w:r>
      <w:r w:rsidR="009C4604">
        <w:rPr>
          <w:color w:val="000000" w:themeColor="text1"/>
        </w:rPr>
        <w:t xml:space="preserve"> et </w:t>
      </w:r>
      <w:r w:rsidR="009C4604" w:rsidRPr="00C8424B">
        <w:rPr>
          <w:color w:val="000000" w:themeColor="text1"/>
        </w:rPr>
        <w:t xml:space="preserve">socioculturels permet ainsi de sortir d’une « histoire positiviste centrée sur l’énumération des innovations techniques » (Tournès 2006, 1) et de s’ouvrir à une archéologie des modes de signification. </w:t>
      </w:r>
      <w:r w:rsidR="009C4604" w:rsidRPr="004F20FE">
        <w:rPr>
          <w:color w:val="000000" w:themeColor="text1"/>
        </w:rPr>
        <w:t xml:space="preserve">C’est ce à quoi </w:t>
      </w:r>
      <w:r w:rsidR="004F20FE">
        <w:rPr>
          <w:color w:val="000000" w:themeColor="text1"/>
        </w:rPr>
        <w:t>convie</w:t>
      </w:r>
      <w:r w:rsidR="009C4604" w:rsidRPr="004F20FE">
        <w:rPr>
          <w:color w:val="000000" w:themeColor="text1"/>
        </w:rPr>
        <w:t xml:space="preserve"> aussi une démarche centrée sur la « poétique</w:t>
      </w:r>
      <w:r w:rsidR="004F20FE">
        <w:rPr>
          <w:color w:val="000000" w:themeColor="text1"/>
        </w:rPr>
        <w:t xml:space="preserve"> historique</w:t>
      </w:r>
      <w:r w:rsidR="009C4604" w:rsidRPr="004F20FE">
        <w:rPr>
          <w:color w:val="000000" w:themeColor="text1"/>
        </w:rPr>
        <w:t xml:space="preserve"> du support » </w:t>
      </w:r>
      <w:r w:rsidR="00F83947" w:rsidRPr="004F20FE">
        <w:rPr>
          <w:color w:val="000000" w:themeColor="text1"/>
        </w:rPr>
        <w:t>(Thérenty</w:t>
      </w:r>
      <w:r w:rsidR="009C4604" w:rsidRPr="004F20FE">
        <w:rPr>
          <w:color w:val="000000" w:themeColor="text1"/>
        </w:rPr>
        <w:t xml:space="preserve"> 2010</w:t>
      </w:r>
      <w:r w:rsidR="00F83947" w:rsidRPr="004F20FE">
        <w:rPr>
          <w:color w:val="000000" w:themeColor="text1"/>
        </w:rPr>
        <w:t>)</w:t>
      </w:r>
      <w:r w:rsidR="009C4604" w:rsidRPr="004F20FE">
        <w:rPr>
          <w:color w:val="000000" w:themeColor="text1"/>
        </w:rPr>
        <w:t xml:space="preserve">, qui </w:t>
      </w:r>
      <w:r w:rsidR="00162941" w:rsidRPr="004F20FE">
        <w:rPr>
          <w:color w:val="000000" w:themeColor="text1"/>
        </w:rPr>
        <w:t>peut éclairer</w:t>
      </w:r>
      <w:r w:rsidR="009C4604" w:rsidRPr="004F20FE">
        <w:rPr>
          <w:color w:val="000000" w:themeColor="text1"/>
        </w:rPr>
        <w:t xml:space="preserve"> aussi bien</w:t>
      </w:r>
      <w:r w:rsidR="00162941" w:rsidRPr="004F20FE">
        <w:rPr>
          <w:color w:val="000000" w:themeColor="text1"/>
        </w:rPr>
        <w:t xml:space="preserve"> les transformations de la bande dessinée </w:t>
      </w:r>
      <w:r w:rsidR="00A938D0" w:rsidRPr="004F20FE">
        <w:rPr>
          <w:color w:val="000000" w:themeColor="text1"/>
        </w:rPr>
        <w:t>liées à la mutation de ses</w:t>
      </w:r>
      <w:r w:rsidR="00162941" w:rsidRPr="004F20FE">
        <w:rPr>
          <w:color w:val="000000" w:themeColor="text1"/>
        </w:rPr>
        <w:t xml:space="preserve"> </w:t>
      </w:r>
      <w:r w:rsidR="009C4604">
        <w:t xml:space="preserve">matrices médiatiques </w:t>
      </w:r>
      <w:r w:rsidR="00162941">
        <w:t xml:space="preserve">(fascicules, périodiques, albums, romans graphiques, </w:t>
      </w:r>
      <w:r w:rsidR="009C4604">
        <w:t xml:space="preserve">CD-ROM, </w:t>
      </w:r>
      <w:r w:rsidR="00162941">
        <w:t>etc.) (Lesage</w:t>
      </w:r>
      <w:r w:rsidR="009C4604">
        <w:t xml:space="preserve"> 2019, Stucky 2022</w:t>
      </w:r>
      <w:r w:rsidR="00162941">
        <w:t xml:space="preserve">) que </w:t>
      </w:r>
      <w:r w:rsidR="00A938D0">
        <w:t>les pactes de lecture liés</w:t>
      </w:r>
      <w:r w:rsidR="00E10C72">
        <w:t xml:space="preserve"> </w:t>
      </w:r>
      <w:r w:rsidR="00A938D0">
        <w:t xml:space="preserve">au moule </w:t>
      </w:r>
      <w:r w:rsidR="00E10C72">
        <w:t>du journal</w:t>
      </w:r>
      <w:r w:rsidR="009C4604">
        <w:t xml:space="preserve"> (maquette, rubricage, titraille, etc.) </w:t>
      </w:r>
      <w:r w:rsidR="004F20FE">
        <w:t>façonnant</w:t>
      </w:r>
      <w:r w:rsidR="009C4604">
        <w:t xml:space="preserve"> </w:t>
      </w:r>
      <w:r w:rsidR="004F20FE">
        <w:t>l</w:t>
      </w:r>
      <w:r w:rsidR="009C4604">
        <w:t>’énonciation éditoriale</w:t>
      </w:r>
      <w:r w:rsidR="00A938D0">
        <w:t xml:space="preserve">, </w:t>
      </w:r>
      <w:r w:rsidR="009C4604">
        <w:t xml:space="preserve">telle </w:t>
      </w:r>
      <w:r w:rsidR="00A938D0">
        <w:t xml:space="preserve">l’infofiction </w:t>
      </w:r>
      <w:r w:rsidR="004F20FE">
        <w:t>entre</w:t>
      </w:r>
      <w:r w:rsidR="00162941">
        <w:t xml:space="preserve"> fictionnalité et factualité</w:t>
      </w:r>
      <w:r w:rsidR="00A938D0">
        <w:t xml:space="preserve"> </w:t>
      </w:r>
      <w:r w:rsidR="004F20FE">
        <w:t>dans</w:t>
      </w:r>
      <w:r w:rsidR="00A938D0">
        <w:t xml:space="preserve"> </w:t>
      </w:r>
      <w:r w:rsidR="004F20FE">
        <w:t xml:space="preserve">l’hebdomadaire </w:t>
      </w:r>
      <w:r w:rsidR="00162941" w:rsidRPr="008D1D0F">
        <w:rPr>
          <w:i/>
          <w:iCs/>
        </w:rPr>
        <w:t>Détective</w:t>
      </w:r>
      <w:r w:rsidR="00162941">
        <w:t xml:space="preserve"> (Chabrier</w:t>
      </w:r>
      <w:r w:rsidR="00B273F9">
        <w:t xml:space="preserve"> </w:t>
      </w:r>
      <w:r w:rsidR="001939F7">
        <w:t>&amp;</w:t>
      </w:r>
      <w:r w:rsidR="00162941">
        <w:t xml:space="preserve"> Thérenty</w:t>
      </w:r>
      <w:r w:rsidR="009C4604">
        <w:t xml:space="preserve"> 2017</w:t>
      </w:r>
      <w:r w:rsidR="00162941">
        <w:t>).</w:t>
      </w:r>
      <w:r w:rsidR="006911D3">
        <w:t xml:space="preserve"> </w:t>
      </w:r>
      <w:r w:rsidR="008D1D0F">
        <w:t xml:space="preserve">De ce point de vue, le regard archéologique a vocation à ressaisir toute une panoplie de médias disparus (de la VHS au Minitel, du </w:t>
      </w:r>
      <w:r w:rsidR="00887825">
        <w:t xml:space="preserve">DAI </w:t>
      </w:r>
      <w:r w:rsidR="008D1D0F">
        <w:t>à la cassette audio</w:t>
      </w:r>
      <w:r w:rsidR="008C63DC">
        <w:t xml:space="preserve">, du </w:t>
      </w:r>
      <w:r w:rsidR="001939F7">
        <w:t>Pathé-Baby</w:t>
      </w:r>
      <w:r w:rsidR="008C63DC">
        <w:t xml:space="preserve"> à la diapositive</w:t>
      </w:r>
      <w:r w:rsidR="00F72F03">
        <w:t>, du poste TSF aux bornes d’arcade</w:t>
      </w:r>
      <w:r w:rsidR="003C11D7">
        <w:t>…</w:t>
      </w:r>
      <w:r w:rsidR="008D1D0F">
        <w:t xml:space="preserve">) en interrogeant leurs </w:t>
      </w:r>
      <w:r w:rsidR="00AC4027">
        <w:t>configurations</w:t>
      </w:r>
      <w:r w:rsidR="008D1D0F">
        <w:t xml:space="preserve"> </w:t>
      </w:r>
      <w:r w:rsidR="00D725F1">
        <w:t xml:space="preserve">conjointement </w:t>
      </w:r>
      <w:r w:rsidR="008D1D0F">
        <w:t xml:space="preserve">techniques, matérielles, </w:t>
      </w:r>
      <w:r w:rsidR="00AC4027">
        <w:t>sensibles</w:t>
      </w:r>
      <w:r w:rsidR="00D725F1">
        <w:t xml:space="preserve"> et </w:t>
      </w:r>
      <w:r w:rsidR="008D1D0F">
        <w:t>cognitives</w:t>
      </w:r>
      <w:r w:rsidR="00461FC8">
        <w:t>, mais aussi leurs logiques productives.</w:t>
      </w:r>
    </w:p>
    <w:p w14:paraId="705BC3E5" w14:textId="2A61F162" w:rsidR="00FE49EB" w:rsidRDefault="006E111E" w:rsidP="008D1D0F">
      <w:pPr>
        <w:jc w:val="both"/>
      </w:pPr>
      <w:r>
        <w:t>L</w:t>
      </w:r>
      <w:r w:rsidR="00695BC6">
        <w:t>’archéologie</w:t>
      </w:r>
      <w:r w:rsidR="00502287">
        <w:t xml:space="preserve"> </w:t>
      </w:r>
      <w:r w:rsidR="003478D2">
        <w:t xml:space="preserve">des médias révèle </w:t>
      </w:r>
      <w:r w:rsidR="003C11D7">
        <w:t>en effet</w:t>
      </w:r>
      <w:r w:rsidR="003478D2">
        <w:t xml:space="preserve"> </w:t>
      </w:r>
      <w:r w:rsidR="00C074AC">
        <w:t>la manière dont les objets de la culture médiatique sont façonnés par des</w:t>
      </w:r>
      <w:r w:rsidR="00502287">
        <w:t xml:space="preserve"> </w:t>
      </w:r>
      <w:r w:rsidR="00502287" w:rsidRPr="001939F7">
        <w:t>systèmes de production</w:t>
      </w:r>
      <w:r w:rsidR="003478D2">
        <w:t xml:space="preserve">. Ainsi, </w:t>
      </w:r>
      <w:r w:rsidR="00A55BF2">
        <w:t xml:space="preserve">les impératifs </w:t>
      </w:r>
      <w:r w:rsidR="003478D2">
        <w:t>économiques d’une presse meilleur marché, alimentée par les annonces,</w:t>
      </w:r>
      <w:r w:rsidR="00A55BF2">
        <w:t xml:space="preserve"> reconfigurent l’écriture </w:t>
      </w:r>
      <w:r>
        <w:t xml:space="preserve">narrative </w:t>
      </w:r>
      <w:r w:rsidR="00A55BF2">
        <w:t xml:space="preserve">romanesque à travers </w:t>
      </w:r>
      <w:r w:rsidR="003478D2">
        <w:t>le</w:t>
      </w:r>
      <w:r w:rsidR="00A55BF2">
        <w:t xml:space="preserve"> feuilleton dans les années 1830-1840 (</w:t>
      </w:r>
      <w:r w:rsidR="00B273F9">
        <w:t xml:space="preserve">Kalifa, Régnier, Thérenty </w:t>
      </w:r>
      <w:r w:rsidR="001939F7">
        <w:t>&amp;</w:t>
      </w:r>
      <w:r w:rsidR="00A55BF2">
        <w:t xml:space="preserve"> Vaillant</w:t>
      </w:r>
      <w:r w:rsidR="00B273F9">
        <w:t xml:space="preserve"> 2011</w:t>
      </w:r>
      <w:r w:rsidR="00A55BF2">
        <w:t>)</w:t>
      </w:r>
      <w:r w:rsidR="003C11D7">
        <w:t xml:space="preserve"> tandis qu’à partir du</w:t>
      </w:r>
      <w:r w:rsidR="00313D67">
        <w:t xml:space="preserve"> début du </w:t>
      </w:r>
      <w:r w:rsidR="00B273F9">
        <w:rPr>
          <w:smallCaps/>
        </w:rPr>
        <w:t>xx</w:t>
      </w:r>
      <w:r w:rsidR="00B273F9" w:rsidRPr="00C8424B">
        <w:rPr>
          <w:vertAlign w:val="superscript"/>
        </w:rPr>
        <w:t>e</w:t>
      </w:r>
      <w:r w:rsidR="00B273F9">
        <w:t xml:space="preserve"> </w:t>
      </w:r>
      <w:r w:rsidR="00313D67">
        <w:t>s</w:t>
      </w:r>
      <w:r w:rsidR="00B273F9">
        <w:t>iècle</w:t>
      </w:r>
      <w:r w:rsidR="00313D67">
        <w:t xml:space="preserve">, </w:t>
      </w:r>
      <w:r w:rsidR="003478D2">
        <w:t xml:space="preserve">les </w:t>
      </w:r>
      <w:r w:rsidR="00695BC6">
        <w:t xml:space="preserve">logiques fordistes </w:t>
      </w:r>
      <w:r w:rsidR="003478D2">
        <w:t xml:space="preserve">de </w:t>
      </w:r>
      <w:r w:rsidR="00A55BF2">
        <w:t>l’édition populaire</w:t>
      </w:r>
      <w:r w:rsidR="003478D2">
        <w:t xml:space="preserve"> </w:t>
      </w:r>
      <w:r w:rsidR="00313D67">
        <w:t xml:space="preserve">favorisent le </w:t>
      </w:r>
      <w:r w:rsidR="003478D2">
        <w:t xml:space="preserve">développement </w:t>
      </w:r>
      <w:r w:rsidR="00313D67">
        <w:t>de</w:t>
      </w:r>
      <w:r w:rsidR="003478D2">
        <w:t xml:space="preserve"> collections thématiques </w:t>
      </w:r>
      <w:r w:rsidR="00313D67">
        <w:t>standardisées</w:t>
      </w:r>
      <w:r w:rsidR="002E4FB7">
        <w:t xml:space="preserve"> </w:t>
      </w:r>
      <w:r w:rsidR="003C11D7">
        <w:t>qui vont structurer</w:t>
      </w:r>
      <w:r w:rsidR="003478D2">
        <w:t xml:space="preserve"> les grands genres médiatiques </w:t>
      </w:r>
      <w:r w:rsidR="003C11D7">
        <w:t>modernes</w:t>
      </w:r>
      <w:r w:rsidR="00695BC6">
        <w:t xml:space="preserve"> (Letourneux</w:t>
      </w:r>
      <w:r w:rsidR="00B273F9">
        <w:t xml:space="preserve"> 2017</w:t>
      </w:r>
      <w:r w:rsidR="00695BC6">
        <w:t>)</w:t>
      </w:r>
      <w:r w:rsidR="005B3221">
        <w:t>. L</w:t>
      </w:r>
      <w:r w:rsidR="00C25A90">
        <w:t xml:space="preserve">e </w:t>
      </w:r>
      <w:r w:rsidR="00EF2C8F">
        <w:t>volontarisme politique de développement</w:t>
      </w:r>
      <w:r w:rsidR="00C25A90">
        <w:t xml:space="preserve"> </w:t>
      </w:r>
      <w:r w:rsidR="00EF2C8F">
        <w:t>des stations de radio</w:t>
      </w:r>
      <w:r w:rsidR="00C25A90">
        <w:t xml:space="preserve"> publi</w:t>
      </w:r>
      <w:r w:rsidR="00EF2C8F">
        <w:t>ques</w:t>
      </w:r>
      <w:r w:rsidR="00C25A90">
        <w:t xml:space="preserve"> et privé</w:t>
      </w:r>
      <w:r w:rsidR="00EF2C8F">
        <w:t>es</w:t>
      </w:r>
      <w:r w:rsidR="00C25A90">
        <w:t xml:space="preserve"> </w:t>
      </w:r>
      <w:r w:rsidR="00EF2C8F">
        <w:t xml:space="preserve">dans les années 1920-1930 encourage la création de fictions </w:t>
      </w:r>
      <w:r w:rsidR="00387B9F">
        <w:t xml:space="preserve">et de pièces </w:t>
      </w:r>
      <w:r w:rsidR="00EF2C8F" w:rsidRPr="00A17BCB">
        <w:t>radiophoniques (</w:t>
      </w:r>
      <w:r w:rsidR="00055477" w:rsidRPr="00A17BCB">
        <w:t>Méadel</w:t>
      </w:r>
      <w:r w:rsidR="00A17BCB" w:rsidRPr="00A17BCB">
        <w:t xml:space="preserve"> 1994</w:t>
      </w:r>
      <w:r w:rsidR="00055477" w:rsidRPr="00A17BCB">
        <w:t xml:space="preserve">, </w:t>
      </w:r>
      <w:r w:rsidR="00EF2C8F" w:rsidRPr="00A17BCB">
        <w:t>Baudou</w:t>
      </w:r>
      <w:r w:rsidR="00A17BCB" w:rsidRPr="00A17BCB">
        <w:t xml:space="preserve"> 1997</w:t>
      </w:r>
      <w:r w:rsidR="00EF2C8F" w:rsidRPr="00A17BCB">
        <w:t>)</w:t>
      </w:r>
      <w:r w:rsidR="00520E26" w:rsidRPr="00A17BCB">
        <w:t>, tandis</w:t>
      </w:r>
      <w:r w:rsidR="00520E26">
        <w:t xml:space="preserve"> que les catalogues de chansons filmées produits pour les télé-box des années 1960 résultent des </w:t>
      </w:r>
      <w:r w:rsidR="00A17BCB">
        <w:t>stratégies</w:t>
      </w:r>
      <w:r w:rsidR="00520E26">
        <w:t xml:space="preserve"> économiques de fabricants issus de l’industrie cinématographique</w:t>
      </w:r>
      <w:r w:rsidR="00A17BCB">
        <w:t xml:space="preserve">, </w:t>
      </w:r>
      <w:r w:rsidR="004940FA">
        <w:t>qui cherchent</w:t>
      </w:r>
      <w:r w:rsidR="0061055D">
        <w:t xml:space="preserve"> à </w:t>
      </w:r>
      <w:r w:rsidR="004940FA">
        <w:t>profiter du</w:t>
      </w:r>
      <w:r w:rsidR="0061055D">
        <w:t xml:space="preserve"> </w:t>
      </w:r>
      <w:r w:rsidR="00520E26">
        <w:t>succès des</w:t>
      </w:r>
      <w:r w:rsidR="00A17BCB">
        <w:t xml:space="preserve"> </w:t>
      </w:r>
      <w:r w:rsidR="00520E26">
        <w:t>juke-box</w:t>
      </w:r>
      <w:r w:rsidR="00A17BCB">
        <w:t>e</w:t>
      </w:r>
      <w:r w:rsidR="00520E26">
        <w:t>s</w:t>
      </w:r>
      <w:r w:rsidR="004940FA">
        <w:t xml:space="preserve"> et de leurs lieux d’exploitation, les cafés</w:t>
      </w:r>
      <w:r w:rsidR="00520E26">
        <w:t xml:space="preserve"> (Orillard 2018).</w:t>
      </w:r>
      <w:r w:rsidR="003C11D7">
        <w:t xml:space="preserve"> P</w:t>
      </w:r>
      <w:r w:rsidR="00313D67">
        <w:t>lus récemment, la franchisation</w:t>
      </w:r>
      <w:r w:rsidR="00520E26">
        <w:t xml:space="preserve"> des univers transmédiatiques (Besson</w:t>
      </w:r>
      <w:r w:rsidR="0061055D">
        <w:t xml:space="preserve"> 2015)</w:t>
      </w:r>
      <w:r w:rsidR="00313D67">
        <w:t xml:space="preserve"> et </w:t>
      </w:r>
      <w:r w:rsidR="00520E26">
        <w:t xml:space="preserve">leur </w:t>
      </w:r>
      <w:r w:rsidR="00313D67">
        <w:t>plateformisation</w:t>
      </w:r>
      <w:r w:rsidR="0061055D">
        <w:t xml:space="preserve"> (Goudmand 2023)</w:t>
      </w:r>
      <w:r w:rsidR="00313D67">
        <w:t xml:space="preserve"> </w:t>
      </w:r>
      <w:r w:rsidR="0061055D">
        <w:t xml:space="preserve">reconfigurent l’imaginaire par le paradigme du monde et recomposent </w:t>
      </w:r>
      <w:r w:rsidR="00313D67">
        <w:t>les narrations sérielles audiovisuelles</w:t>
      </w:r>
      <w:r w:rsidR="0061055D">
        <w:t xml:space="preserve">. </w:t>
      </w:r>
    </w:p>
    <w:p w14:paraId="186A1053" w14:textId="1D883E8A" w:rsidR="006911D3" w:rsidRDefault="00313D67" w:rsidP="008D1D0F">
      <w:pPr>
        <w:jc w:val="both"/>
      </w:pPr>
      <w:r>
        <w:t xml:space="preserve">Les </w:t>
      </w:r>
      <w:r w:rsidRPr="002951E7">
        <w:t>modes de diffusion et les lieux de distribution</w:t>
      </w:r>
      <w:r>
        <w:t xml:space="preserve"> sont </w:t>
      </w:r>
      <w:r w:rsidR="00F82DCB">
        <w:t>tout aussi</w:t>
      </w:r>
      <w:r>
        <w:t xml:space="preserve"> décisifs</w:t>
      </w:r>
      <w:r w:rsidR="00C074AC">
        <w:t xml:space="preserve"> dans les circulations et appropriations des objets médiatiques,</w:t>
      </w:r>
      <w:r w:rsidR="003C11D7">
        <w:t xml:space="preserve"> d’autant que leur péremption</w:t>
      </w:r>
      <w:r w:rsidR="00286E96">
        <w:t xml:space="preserve"> parfois</w:t>
      </w:r>
      <w:r w:rsidR="007F75F8">
        <w:t xml:space="preserve"> </w:t>
      </w:r>
      <w:r>
        <w:t>rapide</w:t>
      </w:r>
      <w:r w:rsidR="007F75F8">
        <w:t xml:space="preserve"> </w:t>
      </w:r>
      <w:r w:rsidR="00286E96">
        <w:t>fait</w:t>
      </w:r>
      <w:r w:rsidR="007F75F8">
        <w:t xml:space="preserve"> disparaître, avec eux, tout un pan des pratiques </w:t>
      </w:r>
      <w:r w:rsidR="00C074AC">
        <w:t>culturelles</w:t>
      </w:r>
      <w:r w:rsidR="007578A4">
        <w:t xml:space="preserve"> que l’archéologie des médias </w:t>
      </w:r>
      <w:r w:rsidR="00286E96">
        <w:t>a vocation à</w:t>
      </w:r>
      <w:r w:rsidR="003C11D7">
        <w:t xml:space="preserve"> retrouver</w:t>
      </w:r>
      <w:r w:rsidR="007F75F8">
        <w:t xml:space="preserve"> : </w:t>
      </w:r>
      <w:r w:rsidR="003C11D7">
        <w:t>il en va ainsi</w:t>
      </w:r>
      <w:r w:rsidR="007F75F8">
        <w:t xml:space="preserve"> </w:t>
      </w:r>
      <w:r w:rsidR="003A1C8E">
        <w:t xml:space="preserve">des lieux de colportage comme les </w:t>
      </w:r>
      <w:r w:rsidR="00151262">
        <w:t>marchés</w:t>
      </w:r>
      <w:r w:rsidR="003A1C8E">
        <w:t xml:space="preserve"> où se monnayaient </w:t>
      </w:r>
      <w:r w:rsidR="00151262">
        <w:t xml:space="preserve">des almanachs ou </w:t>
      </w:r>
      <w:r w:rsidR="003A1C8E">
        <w:t xml:space="preserve">des complaintes imprimées sur des feuilles volantes </w:t>
      </w:r>
      <w:r w:rsidR="003A1C8E" w:rsidRPr="002951E7">
        <w:t>(Heintzen</w:t>
      </w:r>
      <w:r w:rsidR="002951E7">
        <w:t xml:space="preserve"> 2022</w:t>
      </w:r>
      <w:r w:rsidR="003A1C8E">
        <w:t xml:space="preserve">), mais aussi </w:t>
      </w:r>
      <w:r w:rsidR="007F75F8">
        <w:t>des merceries et kiosques à journaux</w:t>
      </w:r>
      <w:r w:rsidR="0061055D">
        <w:t xml:space="preserve"> investis par des éditeurs populaires comme</w:t>
      </w:r>
      <w:r w:rsidR="007F75F8">
        <w:t xml:space="preserve"> Fleuve noir (Artiaga</w:t>
      </w:r>
      <w:r w:rsidR="0061055D">
        <w:t xml:space="preserve"> </w:t>
      </w:r>
      <w:r w:rsidR="002951E7">
        <w:t>&amp;</w:t>
      </w:r>
      <w:r w:rsidR="0061055D">
        <w:t xml:space="preserve"> Letourneux, 2022</w:t>
      </w:r>
      <w:r w:rsidR="007F75F8">
        <w:t xml:space="preserve">), </w:t>
      </w:r>
      <w:r w:rsidR="00EC2E65">
        <w:t>ou encore</w:t>
      </w:r>
      <w:r w:rsidR="007F75F8">
        <w:t xml:space="preserve"> des réseaux de vente par correspondance </w:t>
      </w:r>
      <w:r w:rsidR="00EC2E65">
        <w:t>comme les clubs d</w:t>
      </w:r>
      <w:r w:rsidR="00AD519C">
        <w:t>e</w:t>
      </w:r>
      <w:r w:rsidR="00EC2E65">
        <w:t xml:space="preserve"> livre</w:t>
      </w:r>
      <w:r w:rsidR="00AD519C">
        <w:t>s</w:t>
      </w:r>
      <w:r w:rsidR="00EC2E65">
        <w:t xml:space="preserve"> (</w:t>
      </w:r>
      <w:r w:rsidR="00773150">
        <w:t>C</w:t>
      </w:r>
      <w:r w:rsidR="00B347E5">
        <w:t>e</w:t>
      </w:r>
      <w:r w:rsidR="00773150">
        <w:t>risier</w:t>
      </w:r>
      <w:r w:rsidR="00B347E5">
        <w:t xml:space="preserve"> &amp;</w:t>
      </w:r>
      <w:r w:rsidR="00773150">
        <w:t xml:space="preserve"> Huret</w:t>
      </w:r>
      <w:r w:rsidR="00B347E5">
        <w:t xml:space="preserve"> 2007</w:t>
      </w:r>
      <w:r w:rsidR="007F75F8">
        <w:t xml:space="preserve">), des salles de cinéma </w:t>
      </w:r>
      <w:r w:rsidR="0061055D">
        <w:t>de quartier</w:t>
      </w:r>
      <w:r w:rsidR="007F75F8">
        <w:t xml:space="preserve">, des vidéo-clubs </w:t>
      </w:r>
      <w:r w:rsidR="0061055D">
        <w:t>et</w:t>
      </w:r>
      <w:r w:rsidR="003C11D7">
        <w:t xml:space="preserve"> </w:t>
      </w:r>
      <w:r w:rsidR="007F75F8">
        <w:t>des sexshops (</w:t>
      </w:r>
      <w:r w:rsidR="0061055D">
        <w:t xml:space="preserve">Coulmont </w:t>
      </w:r>
      <w:r w:rsidR="002951E7">
        <w:t>&amp;</w:t>
      </w:r>
      <w:r w:rsidR="0061055D">
        <w:t xml:space="preserve"> Roca Ortiz 2007</w:t>
      </w:r>
      <w:r w:rsidR="007F75F8">
        <w:t xml:space="preserve">), qui tous </w:t>
      </w:r>
      <w:r w:rsidR="00771C8E">
        <w:t>organisent</w:t>
      </w:r>
      <w:r w:rsidR="007F75F8">
        <w:t xml:space="preserve"> </w:t>
      </w:r>
      <w:r w:rsidR="00771C8E">
        <w:lastRenderedPageBreak/>
        <w:t xml:space="preserve">en système </w:t>
      </w:r>
      <w:r w:rsidR="007F75F8">
        <w:t xml:space="preserve">des </w:t>
      </w:r>
      <w:r w:rsidR="00771C8E">
        <w:t>types d’objets, de contenus, de publics et d’</w:t>
      </w:r>
      <w:r w:rsidR="007F75F8">
        <w:t>usages.</w:t>
      </w:r>
      <w:r w:rsidR="00771C8E">
        <w:t xml:space="preserve"> </w:t>
      </w:r>
      <w:r w:rsidR="002B7AB2">
        <w:t>Structurés autour de tels écosystèmes, l</w:t>
      </w:r>
      <w:r w:rsidR="003C11D7">
        <w:t xml:space="preserve">es rassemblements et réseaux d’amateurs spécialisés (festivals, conventions, fan clubs) en sont partie prenante, définissant non seulement des espaces de circulation des productions mais aussi </w:t>
      </w:r>
      <w:r w:rsidR="002B7AB2">
        <w:t>les lieux de leur mise en</w:t>
      </w:r>
      <w:r w:rsidR="003C11D7">
        <w:t xml:space="preserve"> discours et </w:t>
      </w:r>
      <w:r w:rsidR="002B7AB2">
        <w:t xml:space="preserve">de leur </w:t>
      </w:r>
      <w:r w:rsidR="003C11D7">
        <w:t>consommation.</w:t>
      </w:r>
    </w:p>
    <w:p w14:paraId="1EFEF524" w14:textId="2B3EE8F5" w:rsidR="00A4607C" w:rsidRDefault="00771C8E" w:rsidP="008D1D0F">
      <w:pPr>
        <w:jc w:val="both"/>
      </w:pPr>
      <w:r>
        <w:t xml:space="preserve">De fait, les </w:t>
      </w:r>
      <w:r w:rsidR="0059403B" w:rsidRPr="00C8424B">
        <w:t>usages</w:t>
      </w:r>
      <w:r w:rsidR="002B7AB2">
        <w:rPr>
          <w:b/>
          <w:bCs/>
        </w:rPr>
        <w:t xml:space="preserve"> </w:t>
      </w:r>
      <w:r w:rsidR="002B7AB2" w:rsidRPr="00C8424B">
        <w:t>de tels objets</w:t>
      </w:r>
      <w:r>
        <w:t xml:space="preserve"> </w:t>
      </w:r>
      <w:r w:rsidR="002E4FB7">
        <w:t>se ressaisissent</w:t>
      </w:r>
      <w:r>
        <w:t xml:space="preserve"> dans les traces des médias passés</w:t>
      </w:r>
      <w:r w:rsidR="00F82DCB">
        <w:t>, qu’elles soient infimes ou massives</w:t>
      </w:r>
      <w:r w:rsidR="00053F8B">
        <w:t>.</w:t>
      </w:r>
      <w:r w:rsidR="002E4FB7">
        <w:t xml:space="preserve"> </w:t>
      </w:r>
      <w:r w:rsidR="003C11D7">
        <w:t>La lecture des</w:t>
      </w:r>
      <w:r w:rsidR="00F82DCB">
        <w:t xml:space="preserve"> périodiques de bandes dessinées </w:t>
      </w:r>
      <w:r w:rsidR="003C11D7">
        <w:t>éclaire ainsi</w:t>
      </w:r>
      <w:r w:rsidR="00F82DCB">
        <w:t xml:space="preserve"> </w:t>
      </w:r>
      <w:r w:rsidR="0061055D">
        <w:t>d</w:t>
      </w:r>
      <w:r w:rsidR="003C11D7">
        <w:t>es</w:t>
      </w:r>
      <w:r w:rsidR="00F82DCB">
        <w:t xml:space="preserve"> </w:t>
      </w:r>
      <w:r w:rsidR="0061055D">
        <w:t>pratiques intermédiales anciennes ou disparues,</w:t>
      </w:r>
      <w:r w:rsidR="003C11D7">
        <w:t xml:space="preserve"> </w:t>
      </w:r>
      <w:r w:rsidR="0061055D">
        <w:t xml:space="preserve">comme </w:t>
      </w:r>
      <w:r w:rsidR="003C11D7">
        <w:t xml:space="preserve">la </w:t>
      </w:r>
      <w:r w:rsidR="00F82DCB">
        <w:t>lecture collective à voix haute</w:t>
      </w:r>
      <w:r w:rsidR="0061055D">
        <w:t xml:space="preserve">, </w:t>
      </w:r>
      <w:r w:rsidR="003C11D7">
        <w:t xml:space="preserve">la </w:t>
      </w:r>
      <w:r w:rsidR="00F82DCB">
        <w:t>projection commentée de films fixes</w:t>
      </w:r>
      <w:r w:rsidR="0061055D">
        <w:t xml:space="preserve"> tirés des cases, ou bien</w:t>
      </w:r>
      <w:r w:rsidR="00A02CBA">
        <w:t xml:space="preserve"> la consommation des </w:t>
      </w:r>
      <w:r w:rsidR="00F82DCB">
        <w:t xml:space="preserve">livres-disques </w:t>
      </w:r>
      <w:r w:rsidR="00286E96">
        <w:t>adaptant les</w:t>
      </w:r>
      <w:r w:rsidR="00A02CBA">
        <w:t xml:space="preserve"> héros dessinés</w:t>
      </w:r>
      <w:r w:rsidR="00F82DCB">
        <w:t xml:space="preserve"> (Glaude</w:t>
      </w:r>
      <w:r w:rsidR="0061055D">
        <w:t xml:space="preserve"> 2024</w:t>
      </w:r>
      <w:r w:rsidR="00F82DCB">
        <w:t>).</w:t>
      </w:r>
      <w:r w:rsidR="00F155E3">
        <w:t xml:space="preserve"> </w:t>
      </w:r>
      <w:r w:rsidR="00A4607C">
        <w:t xml:space="preserve">Dans cet intérêt porté aux formes </w:t>
      </w:r>
      <w:r w:rsidR="00A02CBA">
        <w:t xml:space="preserve">et aux contextes </w:t>
      </w:r>
      <w:r w:rsidR="00A4607C">
        <w:t xml:space="preserve">de la </w:t>
      </w:r>
      <w:r w:rsidR="00A02CBA">
        <w:t>réception</w:t>
      </w:r>
      <w:r w:rsidR="00A4607C">
        <w:t>, l’archéologie des médias nous met sur la trace de véritables modes de vie structurés par la consommation (Hebdige</w:t>
      </w:r>
      <w:r w:rsidR="0061055D">
        <w:t xml:space="preserve"> </w:t>
      </w:r>
      <w:r w:rsidR="002E3977">
        <w:t xml:space="preserve">[1979] </w:t>
      </w:r>
      <w:r w:rsidR="0061055D">
        <w:t>2008</w:t>
      </w:r>
      <w:r w:rsidR="00A4607C">
        <w:t xml:space="preserve">). </w:t>
      </w:r>
      <w:r w:rsidR="0061055D">
        <w:t>O</w:t>
      </w:r>
      <w:r w:rsidR="00F155E3">
        <w:t xml:space="preserve">n sait </w:t>
      </w:r>
      <w:r w:rsidR="00216725">
        <w:t xml:space="preserve">ainsi </w:t>
      </w:r>
      <w:r w:rsidR="00F155E3">
        <w:t xml:space="preserve">toute l’importance </w:t>
      </w:r>
      <w:r w:rsidR="00707CFE">
        <w:t xml:space="preserve">qu’ont </w:t>
      </w:r>
      <w:r w:rsidR="00A02CBA">
        <w:t>eu</w:t>
      </w:r>
      <w:r w:rsidR="00707CFE">
        <w:t xml:space="preserve"> les supports et dispositifs d’écoute</w:t>
      </w:r>
      <w:r w:rsidR="00216725">
        <w:t xml:space="preserve"> dans la structuration des usages, des sociabilités et des imaginaires culturels </w:t>
      </w:r>
      <w:r w:rsidR="0061055D">
        <w:t>: l</w:t>
      </w:r>
      <w:r w:rsidR="00707CFE">
        <w:t xml:space="preserve">a </w:t>
      </w:r>
      <w:r w:rsidR="002E3977">
        <w:t>sous-</w:t>
      </w:r>
      <w:r w:rsidR="00707CFE">
        <w:t xml:space="preserve">culture jeune </w:t>
      </w:r>
      <w:r w:rsidR="00075DC3">
        <w:t>des</w:t>
      </w:r>
      <w:r w:rsidR="00707CFE">
        <w:t xml:space="preserve"> années 1960</w:t>
      </w:r>
      <w:r w:rsidR="00075DC3">
        <w:t xml:space="preserve"> </w:t>
      </w:r>
      <w:r w:rsidR="00707CFE">
        <w:t>se constitue à travers la consommation des « choses » que sont le</w:t>
      </w:r>
      <w:r w:rsidR="00F155E3">
        <w:t xml:space="preserve"> transistor</w:t>
      </w:r>
      <w:r w:rsidR="003648A7">
        <w:t xml:space="preserve">, </w:t>
      </w:r>
      <w:r w:rsidR="00707CFE">
        <w:t>le</w:t>
      </w:r>
      <w:r w:rsidR="00F9175D">
        <w:t xml:space="preserve"> tourne-disque</w:t>
      </w:r>
      <w:r w:rsidR="002E3977">
        <w:t xml:space="preserve"> Teppaz</w:t>
      </w:r>
      <w:r w:rsidR="00F155E3">
        <w:t xml:space="preserve"> </w:t>
      </w:r>
      <w:r w:rsidR="00707CFE">
        <w:t>et le vinyle, inventant de</w:t>
      </w:r>
      <w:r w:rsidR="00F155E3">
        <w:t xml:space="preserve"> nouvelle</w:t>
      </w:r>
      <w:r w:rsidR="00707CFE">
        <w:t>s</w:t>
      </w:r>
      <w:r w:rsidR="00F155E3">
        <w:t xml:space="preserve"> mobilité</w:t>
      </w:r>
      <w:r w:rsidR="00707CFE">
        <w:t>s</w:t>
      </w:r>
      <w:r w:rsidR="00F155E3">
        <w:t xml:space="preserve">, </w:t>
      </w:r>
      <w:r w:rsidR="002E3977">
        <w:t xml:space="preserve">des </w:t>
      </w:r>
      <w:r w:rsidR="00F155E3">
        <w:t xml:space="preserve">espaces </w:t>
      </w:r>
      <w:r w:rsidR="003648A7">
        <w:t>d’écoute</w:t>
      </w:r>
      <w:r w:rsidR="00F155E3">
        <w:t xml:space="preserve"> </w:t>
      </w:r>
      <w:r w:rsidR="00220B20">
        <w:t xml:space="preserve">privés </w:t>
      </w:r>
      <w:r w:rsidR="00F155E3">
        <w:t xml:space="preserve">et </w:t>
      </w:r>
      <w:r w:rsidR="002E3977">
        <w:t xml:space="preserve">des </w:t>
      </w:r>
      <w:r w:rsidR="00216725">
        <w:t>appartenances</w:t>
      </w:r>
      <w:r w:rsidR="00F155E3">
        <w:t xml:space="preserve"> choisies</w:t>
      </w:r>
      <w:r w:rsidR="00A02CBA">
        <w:t>, vécus comme singularisants</w:t>
      </w:r>
      <w:r w:rsidR="00075DC3">
        <w:t xml:space="preserve"> (Sohn</w:t>
      </w:r>
      <w:r w:rsidR="00216725">
        <w:t xml:space="preserve"> 2012</w:t>
      </w:r>
      <w:r w:rsidR="00075DC3">
        <w:t>)</w:t>
      </w:r>
      <w:r w:rsidR="006B0FC8">
        <w:t>. Vingt ans plus tard, cassettes et disques compacts remodèlent les pratiques jeunes (Bonvoisin</w:t>
      </w:r>
      <w:r w:rsidR="00216725">
        <w:t xml:space="preserve"> 2020</w:t>
      </w:r>
      <w:r w:rsidR="006B0FC8">
        <w:t>) tandis que</w:t>
      </w:r>
      <w:r w:rsidR="00075DC3">
        <w:t xml:space="preserve">, </w:t>
      </w:r>
      <w:r w:rsidR="006B0FC8">
        <w:t>déployés auprès du</w:t>
      </w:r>
      <w:r w:rsidR="00075DC3">
        <w:t xml:space="preserve"> grand public, magnétoscope, VHS et vidéo-clubs </w:t>
      </w:r>
      <w:r w:rsidR="00216725">
        <w:t xml:space="preserve">configurent </w:t>
      </w:r>
      <w:r w:rsidR="002E3977">
        <w:t>les</w:t>
      </w:r>
      <w:r w:rsidR="00075DC3">
        <w:t xml:space="preserve"> comportements et </w:t>
      </w:r>
      <w:r w:rsidR="00FE49EB">
        <w:t>imaginaires</w:t>
      </w:r>
      <w:r w:rsidR="00216725">
        <w:t xml:space="preserve"> </w:t>
      </w:r>
      <w:r w:rsidR="006B0FC8">
        <w:t>associés à</w:t>
      </w:r>
      <w:r w:rsidR="00075DC3">
        <w:t xml:space="preserve"> la vidéo domestique (L</w:t>
      </w:r>
      <w:r w:rsidR="00216725">
        <w:t>e</w:t>
      </w:r>
      <w:r w:rsidR="00075DC3">
        <w:t xml:space="preserve"> Pajolec</w:t>
      </w:r>
      <w:r w:rsidR="00FE49EB">
        <w:t xml:space="preserve"> 2023</w:t>
      </w:r>
      <w:r w:rsidR="00075DC3">
        <w:t>).</w:t>
      </w:r>
      <w:r w:rsidR="00216725">
        <w:t xml:space="preserve"> En cela, l’archéologie des médias travaille aussi à retrouver les traces des discours, représentations et </w:t>
      </w:r>
      <w:r w:rsidR="00220B20">
        <w:t>sensibilités</w:t>
      </w:r>
      <w:r w:rsidR="00216725">
        <w:t xml:space="preserve"> </w:t>
      </w:r>
      <w:r w:rsidR="005C35D2">
        <w:t>qui constituent</w:t>
      </w:r>
      <w:r w:rsidR="00216725">
        <w:t xml:space="preserve"> la mémoire immatérielle des objets </w:t>
      </w:r>
      <w:r w:rsidR="009E3DFB">
        <w:t>médiatiques</w:t>
      </w:r>
      <w:r w:rsidR="007C60EC">
        <w:t>, à l’image de ce qu’entreprend Yoan Vérilhac (2024) lorsqu’il démontre la généralisation d’un paradigme sensationnaliste né avec nos sociétés démocratiques modernes.</w:t>
      </w:r>
    </w:p>
    <w:p w14:paraId="7D5AE0B6" w14:textId="77777777" w:rsidR="00A4607C" w:rsidRDefault="00A4607C" w:rsidP="008D1D0F">
      <w:pPr>
        <w:jc w:val="both"/>
      </w:pPr>
    </w:p>
    <w:p w14:paraId="73825F0C" w14:textId="631583FD" w:rsidR="006E111E" w:rsidRDefault="00A02CBA" w:rsidP="00A02CBA">
      <w:pPr>
        <w:jc w:val="both"/>
      </w:pPr>
      <w:r>
        <w:t xml:space="preserve">Dans ce dossier de </w:t>
      </w:r>
      <w:r w:rsidRPr="00A02CBA">
        <w:rPr>
          <w:i/>
          <w:iCs/>
        </w:rPr>
        <w:t>Sociétés &amp; Représentations</w:t>
      </w:r>
      <w:r>
        <w:t>, l</w:t>
      </w:r>
      <w:r w:rsidR="00A4607C">
        <w:t xml:space="preserve">’étude archéologique de la culture médiatique </w:t>
      </w:r>
      <w:r>
        <w:t>pourra</w:t>
      </w:r>
      <w:r w:rsidR="00A4607C">
        <w:t xml:space="preserve"> donc emprunter</w:t>
      </w:r>
      <w:r>
        <w:t xml:space="preserve"> un grand nombre</w:t>
      </w:r>
      <w:r w:rsidR="00A4607C">
        <w:t xml:space="preserve"> </w:t>
      </w:r>
      <w:r>
        <w:t>de</w:t>
      </w:r>
      <w:r w:rsidR="00A4607C">
        <w:t xml:space="preserve"> voies mais </w:t>
      </w:r>
      <w:r>
        <w:t>elle s’attachera à</w:t>
      </w:r>
      <w:r w:rsidR="00A4607C">
        <w:t xml:space="preserve"> </w:t>
      </w:r>
      <w:r w:rsidR="009E3DFB">
        <w:t xml:space="preserve">scruter la réalité concrète des objets pour déployer </w:t>
      </w:r>
      <w:r w:rsidR="00961F95">
        <w:t>toute une</w:t>
      </w:r>
      <w:r w:rsidR="00A4607C">
        <w:t xml:space="preserve"> réalité culturelle</w:t>
      </w:r>
      <w:r>
        <w:t xml:space="preserve"> pluridimensionnelle</w:t>
      </w:r>
      <w:r w:rsidR="00A4607C">
        <w:t xml:space="preserve">, même </w:t>
      </w:r>
      <w:r>
        <w:t xml:space="preserve">lorsqu’elle opérera </w:t>
      </w:r>
      <w:r w:rsidR="00A4607C">
        <w:t>à petite échelle temporelle</w:t>
      </w:r>
      <w:r w:rsidR="00961F95">
        <w:t xml:space="preserve"> et à partir d’études de cas circonscrites. </w:t>
      </w:r>
      <w:r>
        <w:t>E</w:t>
      </w:r>
      <w:r w:rsidR="00A4607C">
        <w:t xml:space="preserve">lle peut </w:t>
      </w:r>
      <w:r>
        <w:t>toutefois également</w:t>
      </w:r>
      <w:r w:rsidR="00A4607C">
        <w:t xml:space="preserve"> naviguer à travers </w:t>
      </w:r>
      <w:r>
        <w:t>des périodes éloignées, pour procéder à des mises en rapports nouvelles entre formes anciennes et actuelles de la culture médiatique</w:t>
      </w:r>
      <w:r w:rsidR="007C60EC">
        <w:t>.</w:t>
      </w:r>
      <w:r>
        <w:t xml:space="preserve"> </w:t>
      </w:r>
      <w:r w:rsidR="000D12BC">
        <w:t xml:space="preserve">Le champ ouvert par ce dossier est sans restriction de </w:t>
      </w:r>
      <w:r w:rsidR="002F4207">
        <w:t xml:space="preserve">sujet </w:t>
      </w:r>
      <w:r w:rsidR="000D12BC">
        <w:t>ou de période</w:t>
      </w:r>
      <w:r w:rsidR="00961F95">
        <w:t>. Les contributions mettant l’accent, de manière réflexive, sur les enjeux méthodologiques (accès aux sources, établissement de corpus, collecte, archives, traces) et les ajustements théoriques requis par l’application de l’archéologie des médias à la culture médiatique seront également bienvenues.</w:t>
      </w:r>
    </w:p>
    <w:p w14:paraId="3C31B2FA" w14:textId="77777777" w:rsidR="0098376C" w:rsidRDefault="0098376C" w:rsidP="008D1D0F">
      <w:pPr>
        <w:autoSpaceDE w:val="0"/>
        <w:autoSpaceDN w:val="0"/>
        <w:adjustRightInd w:val="0"/>
        <w:jc w:val="both"/>
        <w:rPr>
          <w:rFonts w:ascii="AppleSystemUIFont" w:hAnsi="AppleSystemUIFont" w:cs="AppleSystemUIFont"/>
          <w:kern w:val="0"/>
          <w:sz w:val="26"/>
          <w:szCs w:val="26"/>
        </w:rPr>
      </w:pPr>
    </w:p>
    <w:p w14:paraId="28A926FD" w14:textId="6E424356" w:rsidR="00F94C0D" w:rsidRPr="00F94C0D" w:rsidRDefault="00F94C0D" w:rsidP="008D1D0F">
      <w:pPr>
        <w:jc w:val="both"/>
        <w:rPr>
          <w:b/>
          <w:bCs/>
        </w:rPr>
      </w:pPr>
      <w:r w:rsidRPr="00F94C0D">
        <w:rPr>
          <w:b/>
          <w:bCs/>
        </w:rPr>
        <w:t>Calendrier</w:t>
      </w:r>
    </w:p>
    <w:p w14:paraId="39AF3228" w14:textId="77777777" w:rsidR="00F94C0D" w:rsidRDefault="00F94C0D" w:rsidP="008D1D0F">
      <w:pPr>
        <w:jc w:val="both"/>
        <w:rPr>
          <w:b/>
          <w:bCs/>
        </w:rPr>
      </w:pPr>
    </w:p>
    <w:p w14:paraId="6B9BD367" w14:textId="29B20076" w:rsidR="00F94C0D" w:rsidRDefault="00F94C0D" w:rsidP="008D1D0F">
      <w:pPr>
        <w:jc w:val="both"/>
      </w:pPr>
      <w:r w:rsidRPr="00F94C0D">
        <w:t xml:space="preserve">Date d’envoi des propositions : </w:t>
      </w:r>
      <w:r>
        <w:t>15 avril 2025</w:t>
      </w:r>
    </w:p>
    <w:p w14:paraId="41D4289D" w14:textId="33F5F9F5" w:rsidR="00F94C0D" w:rsidRDefault="00F94C0D" w:rsidP="008D1D0F">
      <w:pPr>
        <w:jc w:val="both"/>
      </w:pPr>
      <w:r>
        <w:t>Date d’envoi des articles en première version : 15 octobre 2025</w:t>
      </w:r>
    </w:p>
    <w:p w14:paraId="5BE083DF" w14:textId="19C1EC49" w:rsidR="00F94C0D" w:rsidRDefault="00F94C0D" w:rsidP="008D1D0F">
      <w:pPr>
        <w:jc w:val="both"/>
      </w:pPr>
      <w:r>
        <w:t>Date de publication (numérique et papier) : septembre 2026</w:t>
      </w:r>
    </w:p>
    <w:p w14:paraId="4BD13359" w14:textId="77777777" w:rsidR="001C47CE" w:rsidRDefault="001C47CE" w:rsidP="008D1D0F">
      <w:pPr>
        <w:jc w:val="both"/>
      </w:pPr>
    </w:p>
    <w:p w14:paraId="42EDFAEF" w14:textId="77777777" w:rsidR="001C47CE" w:rsidRPr="00E756C6" w:rsidRDefault="001C47CE" w:rsidP="001C47CE">
      <w:pPr>
        <w:ind w:left="851" w:hanging="851"/>
        <w:jc w:val="both"/>
        <w:rPr>
          <w:b/>
          <w:bCs/>
        </w:rPr>
      </w:pPr>
      <w:r w:rsidRPr="00E756C6">
        <w:rPr>
          <w:b/>
          <w:bCs/>
        </w:rPr>
        <w:t>Bibliographie indicative</w:t>
      </w:r>
    </w:p>
    <w:p w14:paraId="3EC069DB" w14:textId="77777777" w:rsidR="001C47CE" w:rsidRDefault="001C47CE" w:rsidP="001C47CE">
      <w:pPr>
        <w:ind w:left="851" w:hanging="851"/>
        <w:jc w:val="both"/>
      </w:pPr>
    </w:p>
    <w:p w14:paraId="76A9D7E3" w14:textId="77777777" w:rsidR="001C47CE" w:rsidRPr="00207D75" w:rsidRDefault="001C47CE" w:rsidP="001C47CE">
      <w:pPr>
        <w:ind w:left="567" w:hanging="567"/>
        <w:jc w:val="both"/>
      </w:pPr>
      <w:r w:rsidRPr="00207D75">
        <w:t xml:space="preserve">Baetens Jans (2014), « Le médium n’est pas soluble dans les médias de masse », </w:t>
      </w:r>
      <w:r w:rsidRPr="00207D75">
        <w:rPr>
          <w:i/>
          <w:iCs/>
        </w:rPr>
        <w:t>Hermès. La revue</w:t>
      </w:r>
      <w:r w:rsidRPr="00207D75">
        <w:t xml:space="preserve">, n° 70, dossier « Le </w:t>
      </w:r>
      <w:r w:rsidRPr="00207D75">
        <w:rPr>
          <w:smallCaps/>
        </w:rPr>
        <w:t>xx</w:t>
      </w:r>
      <w:r w:rsidRPr="00207D75">
        <w:rPr>
          <w:vertAlign w:val="superscript"/>
        </w:rPr>
        <w:t>e</w:t>
      </w:r>
      <w:r w:rsidRPr="00207D75">
        <w:t xml:space="preserve"> siècle saisi par la communication », p. 40-45, </w:t>
      </w:r>
      <w:hyperlink r:id="rId7" w:history="1">
        <w:r w:rsidRPr="00207D75">
          <w:rPr>
            <w:rStyle w:val="Lienhypertexte"/>
            <w:rFonts w:eastAsiaTheme="majorEastAsia"/>
          </w:rPr>
          <w:t>https://doi.org/10.3917/herm.070.0040</w:t>
        </w:r>
      </w:hyperlink>
      <w:r w:rsidRPr="00207D75">
        <w:t>.</w:t>
      </w:r>
    </w:p>
    <w:p w14:paraId="6CCC1DCB" w14:textId="77777777" w:rsidR="001C47CE" w:rsidRPr="00207D75" w:rsidRDefault="001C47CE" w:rsidP="001C47CE">
      <w:pPr>
        <w:ind w:left="567" w:hanging="567"/>
        <w:jc w:val="both"/>
        <w:rPr>
          <w:lang w:val="en-US"/>
        </w:rPr>
      </w:pPr>
      <w:r w:rsidRPr="00207D75">
        <w:rPr>
          <w:lang w:val="en-US"/>
        </w:rPr>
        <w:t xml:space="preserve">Bolter Jay David, Grusin Richard (2000), </w:t>
      </w:r>
      <w:r w:rsidRPr="00207D75">
        <w:rPr>
          <w:i/>
          <w:iCs/>
          <w:lang w:val="en-US"/>
        </w:rPr>
        <w:t>Remediation: Understanding New Media</w:t>
      </w:r>
      <w:r w:rsidRPr="00207D75">
        <w:rPr>
          <w:lang w:val="en-US"/>
        </w:rPr>
        <w:t>, Cambridge, MIT Press.</w:t>
      </w:r>
    </w:p>
    <w:p w14:paraId="6D9FD806" w14:textId="77777777" w:rsidR="001C47CE" w:rsidRDefault="001C47CE" w:rsidP="001C47CE">
      <w:pPr>
        <w:ind w:left="567" w:hanging="567"/>
        <w:jc w:val="both"/>
      </w:pPr>
      <w:r w:rsidRPr="00207D75">
        <w:t>Citton Yves</w:t>
      </w:r>
      <w:r>
        <w:t xml:space="preserve">, </w:t>
      </w:r>
      <w:r w:rsidRPr="00207D75">
        <w:t xml:space="preserve">Doudet Estelle (dir.) (2019), </w:t>
      </w:r>
      <w:r w:rsidRPr="00207D75">
        <w:rPr>
          <w:i/>
          <w:iCs/>
        </w:rPr>
        <w:t>Écologies de l’attention et archéologie des media</w:t>
      </w:r>
      <w:r w:rsidRPr="00207D75">
        <w:t xml:space="preserve">, </w:t>
      </w:r>
      <w:r>
        <w:t xml:space="preserve">Grenoble, </w:t>
      </w:r>
      <w:r w:rsidRPr="00207D75">
        <w:t>UGA Éditions</w:t>
      </w:r>
      <w:r>
        <w:t xml:space="preserve">, </w:t>
      </w:r>
      <w:hyperlink r:id="rId8" w:history="1">
        <w:r w:rsidRPr="00A32A3A">
          <w:rPr>
            <w:rStyle w:val="Lienhypertexte"/>
          </w:rPr>
          <w:t>https://books.openedition.org/ugaeditions/10362</w:t>
        </w:r>
      </w:hyperlink>
      <w:r>
        <w:t xml:space="preserve">. </w:t>
      </w:r>
    </w:p>
    <w:p w14:paraId="282F51F2" w14:textId="77777777" w:rsidR="001C47CE" w:rsidRPr="006061D1" w:rsidRDefault="001C47CE" w:rsidP="001C47CE">
      <w:pPr>
        <w:ind w:left="567" w:hanging="567"/>
        <w:jc w:val="both"/>
        <w:rPr>
          <w:lang w:val="en-US"/>
        </w:rPr>
      </w:pPr>
      <w:r w:rsidRPr="00207D75">
        <w:rPr>
          <w:lang w:val="en-US"/>
        </w:rPr>
        <w:lastRenderedPageBreak/>
        <w:t xml:space="preserve">Ernst Wolfgang (2005), « Let </w:t>
      </w:r>
      <w:r>
        <w:rPr>
          <w:lang w:val="en-US"/>
        </w:rPr>
        <w:t>T</w:t>
      </w:r>
      <w:r w:rsidRPr="00207D75">
        <w:rPr>
          <w:lang w:val="en-US"/>
        </w:rPr>
        <w:t xml:space="preserve">here </w:t>
      </w:r>
      <w:r>
        <w:rPr>
          <w:lang w:val="en-US"/>
        </w:rPr>
        <w:t>B</w:t>
      </w:r>
      <w:r w:rsidRPr="00207D75">
        <w:rPr>
          <w:lang w:val="en-US"/>
        </w:rPr>
        <w:t xml:space="preserve">e </w:t>
      </w:r>
      <w:r>
        <w:rPr>
          <w:lang w:val="en-US"/>
        </w:rPr>
        <w:t>I</w:t>
      </w:r>
      <w:r w:rsidRPr="00207D75">
        <w:rPr>
          <w:lang w:val="en-US"/>
        </w:rPr>
        <w:t xml:space="preserve">rony: </w:t>
      </w:r>
      <w:r>
        <w:rPr>
          <w:lang w:val="en-US"/>
        </w:rPr>
        <w:t>C</w:t>
      </w:r>
      <w:r w:rsidRPr="00207D75">
        <w:rPr>
          <w:lang w:val="en-US"/>
        </w:rPr>
        <w:t xml:space="preserve">ultural </w:t>
      </w:r>
      <w:r>
        <w:rPr>
          <w:lang w:val="en-US"/>
        </w:rPr>
        <w:t>H</w:t>
      </w:r>
      <w:r w:rsidRPr="00207D75">
        <w:rPr>
          <w:lang w:val="en-US"/>
        </w:rPr>
        <w:t xml:space="preserve">istory and </w:t>
      </w:r>
      <w:r>
        <w:rPr>
          <w:lang w:val="en-US"/>
        </w:rPr>
        <w:t>M</w:t>
      </w:r>
      <w:r w:rsidRPr="00207D75">
        <w:rPr>
          <w:lang w:val="en-US"/>
        </w:rPr>
        <w:t xml:space="preserve">edia </w:t>
      </w:r>
      <w:r>
        <w:rPr>
          <w:lang w:val="en-US"/>
        </w:rPr>
        <w:t>A</w:t>
      </w:r>
      <w:r w:rsidRPr="00207D75">
        <w:rPr>
          <w:lang w:val="en-US"/>
        </w:rPr>
        <w:t xml:space="preserve">rchaeology in </w:t>
      </w:r>
      <w:r>
        <w:rPr>
          <w:lang w:val="en-US"/>
        </w:rPr>
        <w:t>P</w:t>
      </w:r>
      <w:r w:rsidRPr="00207D75">
        <w:rPr>
          <w:lang w:val="en-US"/>
        </w:rPr>
        <w:t xml:space="preserve">arallel </w:t>
      </w:r>
      <w:r>
        <w:rPr>
          <w:lang w:val="en-US"/>
        </w:rPr>
        <w:t>L</w:t>
      </w:r>
      <w:r w:rsidRPr="00207D75">
        <w:rPr>
          <w:lang w:val="en-US"/>
        </w:rPr>
        <w:t xml:space="preserve">ines », </w:t>
      </w:r>
      <w:r w:rsidRPr="00207D75">
        <w:rPr>
          <w:i/>
          <w:iCs/>
          <w:lang w:val="en-US"/>
        </w:rPr>
        <w:t>Art History</w:t>
      </w:r>
      <w:r w:rsidRPr="00207D75">
        <w:rPr>
          <w:lang w:val="en-US"/>
        </w:rPr>
        <w:t>, vol. 28, n</w:t>
      </w:r>
      <w:r w:rsidRPr="00207D75">
        <w:rPr>
          <w:vertAlign w:val="superscript"/>
          <w:lang w:val="en-US"/>
        </w:rPr>
        <w:t>o</w:t>
      </w:r>
      <w:r w:rsidRPr="00207D75">
        <w:rPr>
          <w:lang w:val="en-US"/>
        </w:rPr>
        <w:t xml:space="preserve"> 5, p.</w:t>
      </w:r>
      <w:r>
        <w:rPr>
          <w:lang w:val="en-US"/>
        </w:rPr>
        <w:t> </w:t>
      </w:r>
      <w:r w:rsidRPr="00207D75">
        <w:rPr>
          <w:lang w:val="en-US"/>
        </w:rPr>
        <w:t>582</w:t>
      </w:r>
      <w:r w:rsidRPr="00207D75">
        <w:rPr>
          <w:lang w:val="en-US"/>
        </w:rPr>
        <w:noBreakHyphen/>
        <w:t xml:space="preserve">603,  </w:t>
      </w:r>
      <w:hyperlink r:id="rId9" w:history="1">
        <w:r w:rsidRPr="006061D1">
          <w:rPr>
            <w:rStyle w:val="Lienhypertexte"/>
            <w:rFonts w:eastAsiaTheme="majorEastAsia"/>
            <w:lang w:val="en-US"/>
          </w:rPr>
          <w:t>https://doi.org/10.1111/j.1467-8365.2005.00479.x</w:t>
        </w:r>
      </w:hyperlink>
      <w:r w:rsidRPr="006061D1">
        <w:rPr>
          <w:lang w:val="en-US"/>
        </w:rPr>
        <w:t xml:space="preserve">. </w:t>
      </w:r>
    </w:p>
    <w:p w14:paraId="3A677CD1" w14:textId="77777777" w:rsidR="001C47CE" w:rsidRPr="00207D75" w:rsidRDefault="001C47CE" w:rsidP="001C47CE">
      <w:pPr>
        <w:ind w:left="567" w:hanging="567"/>
        <w:jc w:val="both"/>
      </w:pPr>
      <w:r w:rsidRPr="006061D1">
        <w:t>Gaudreault André</w:t>
      </w:r>
      <w:r>
        <w:t xml:space="preserve">, </w:t>
      </w:r>
      <w:r w:rsidRPr="006061D1">
        <w:t>Marion Philippe</w:t>
      </w:r>
      <w:r>
        <w:t xml:space="preserve"> (2006)</w:t>
      </w:r>
      <w:r w:rsidRPr="006061D1">
        <w:t>, « Cinéma et généalogie des médias »,</w:t>
      </w:r>
      <w:r w:rsidRPr="00207D75">
        <w:t xml:space="preserve"> </w:t>
      </w:r>
      <w:r w:rsidRPr="00207D75">
        <w:rPr>
          <w:i/>
          <w:iCs/>
        </w:rPr>
        <w:t>MédiaMorphoses</w:t>
      </w:r>
      <w:r w:rsidRPr="00207D75">
        <w:t xml:space="preserve">, </w:t>
      </w:r>
      <w:r>
        <w:t>n° 16,</w:t>
      </w:r>
      <w:r w:rsidRPr="00207D75">
        <w:t xml:space="preserve"> 2006, p. 24</w:t>
      </w:r>
      <w:r w:rsidRPr="00207D75">
        <w:noBreakHyphen/>
        <w:t xml:space="preserve">30, </w:t>
      </w:r>
      <w:hyperlink r:id="rId10" w:tgtFrame="_blank" w:history="1">
        <w:r>
          <w:rPr>
            <w:rStyle w:val="Lienhypertexte"/>
            <w:rFonts w:eastAsiaTheme="majorEastAsia"/>
          </w:rPr>
          <w:t>https://doi.org/10.3406/memor.2006.1124</w:t>
        </w:r>
      </w:hyperlink>
      <w:r>
        <w:t xml:space="preserve">. </w:t>
      </w:r>
    </w:p>
    <w:p w14:paraId="4E670BBF" w14:textId="77777777" w:rsidR="001C47CE" w:rsidRPr="008B704E" w:rsidRDefault="001C47CE" w:rsidP="001C47CE">
      <w:pPr>
        <w:ind w:left="567" w:hanging="567"/>
        <w:jc w:val="both"/>
        <w:rPr>
          <w:lang w:val="en-US"/>
        </w:rPr>
      </w:pPr>
      <w:r w:rsidRPr="00754103">
        <w:t>Huhtamo Erkki</w:t>
      </w:r>
      <w:r>
        <w:t xml:space="preserve">, </w:t>
      </w:r>
      <w:r w:rsidRPr="00754103">
        <w:t xml:space="preserve">Parikka Jussi (dir.) </w:t>
      </w:r>
      <w:r w:rsidRPr="00754103">
        <w:rPr>
          <w:lang w:val="en-US"/>
        </w:rPr>
        <w:t xml:space="preserve">(2011), </w:t>
      </w:r>
      <w:r w:rsidRPr="00754103">
        <w:rPr>
          <w:i/>
          <w:iCs/>
          <w:lang w:val="en-US"/>
        </w:rPr>
        <w:t>Media Archaeology: Approaches, Applications, and Implications</w:t>
      </w:r>
      <w:r w:rsidRPr="00754103">
        <w:rPr>
          <w:lang w:val="en-US"/>
        </w:rPr>
        <w:t xml:space="preserve">, Berkeley, University of California Press, </w:t>
      </w:r>
      <w:hyperlink r:id="rId11" w:tgtFrame="_blank" w:history="1">
        <w:r w:rsidRPr="008B704E">
          <w:rPr>
            <w:rStyle w:val="Lienhypertexte"/>
            <w:rFonts w:eastAsiaTheme="majorEastAsia"/>
            <w:lang w:val="en-US"/>
          </w:rPr>
          <w:t>https://doi.org/10.1525/9780520948518</w:t>
        </w:r>
      </w:hyperlink>
      <w:r w:rsidRPr="008B704E">
        <w:rPr>
          <w:lang w:val="en-US"/>
        </w:rPr>
        <w:t xml:space="preserve">. </w:t>
      </w:r>
    </w:p>
    <w:p w14:paraId="623A73A7" w14:textId="77777777" w:rsidR="001C47CE" w:rsidRPr="008B704E" w:rsidRDefault="001C47CE" w:rsidP="001C47CE">
      <w:pPr>
        <w:ind w:left="567" w:hanging="567"/>
        <w:jc w:val="both"/>
      </w:pPr>
      <w:r w:rsidRPr="008B704E">
        <w:t>Kalifa Dominique, Régnier Philippe, Thérenty Marie-Ève, Vaillant Alain (dir.)</w:t>
      </w:r>
      <w:r>
        <w:t xml:space="preserve"> (2011)</w:t>
      </w:r>
      <w:r w:rsidRPr="008B704E">
        <w:t xml:space="preserve">, </w:t>
      </w:r>
      <w:r w:rsidRPr="008B704E">
        <w:rPr>
          <w:i/>
          <w:iCs/>
        </w:rPr>
        <w:t xml:space="preserve">La </w:t>
      </w:r>
      <w:r>
        <w:rPr>
          <w:i/>
          <w:iCs/>
        </w:rPr>
        <w:t>C</w:t>
      </w:r>
      <w:r w:rsidRPr="008B704E">
        <w:rPr>
          <w:i/>
          <w:iCs/>
        </w:rPr>
        <w:t>ivilisation du journa</w:t>
      </w:r>
      <w:r>
        <w:rPr>
          <w:i/>
          <w:iCs/>
        </w:rPr>
        <w:t>l. H</w:t>
      </w:r>
      <w:r w:rsidRPr="008B704E">
        <w:rPr>
          <w:i/>
          <w:iCs/>
        </w:rPr>
        <w:t xml:space="preserve">istoire culturelle et littéraire de la presse française au </w:t>
      </w:r>
      <w:r>
        <w:rPr>
          <w:i/>
          <w:iCs/>
          <w:smallCaps/>
        </w:rPr>
        <w:t>xix</w:t>
      </w:r>
      <w:r w:rsidRPr="008B704E">
        <w:rPr>
          <w:i/>
          <w:iCs/>
          <w:vertAlign w:val="superscript"/>
        </w:rPr>
        <w:t>e</w:t>
      </w:r>
      <w:r w:rsidRPr="008B704E">
        <w:rPr>
          <w:i/>
          <w:iCs/>
        </w:rPr>
        <w:t xml:space="preserve"> siècle</w:t>
      </w:r>
      <w:r w:rsidRPr="008B704E">
        <w:t>, Paris, Nouveau Monde éditions, coll. « Opus magnum », 2011.</w:t>
      </w:r>
    </w:p>
    <w:p w14:paraId="7773C2A1" w14:textId="77777777" w:rsidR="001C47CE" w:rsidRPr="008B704E" w:rsidRDefault="001C47CE" w:rsidP="001C47CE">
      <w:pPr>
        <w:ind w:left="567" w:hanging="567"/>
        <w:jc w:val="both"/>
      </w:pPr>
      <w:r w:rsidRPr="008B704E">
        <w:t>Letourneux Matthieu</w:t>
      </w:r>
      <w:r>
        <w:t xml:space="preserve"> (2017)</w:t>
      </w:r>
      <w:r w:rsidRPr="008B704E">
        <w:t xml:space="preserve">, </w:t>
      </w:r>
      <w:r w:rsidRPr="008B704E">
        <w:rPr>
          <w:i/>
          <w:iCs/>
        </w:rPr>
        <w:t>Fictions à la chaîne. Littératures sérielles et culture médiatique</w:t>
      </w:r>
      <w:r w:rsidRPr="008B704E">
        <w:t>, Paris, Éditions du Seuil, coll. « Poétique ».</w:t>
      </w:r>
    </w:p>
    <w:p w14:paraId="2EFE8915" w14:textId="77777777" w:rsidR="001C47CE" w:rsidRPr="008B704E" w:rsidRDefault="001C47CE" w:rsidP="001C47CE">
      <w:pPr>
        <w:ind w:left="567" w:hanging="567"/>
        <w:jc w:val="both"/>
      </w:pPr>
      <w:r w:rsidRPr="008B704E">
        <w:t>Parikka Jussi</w:t>
      </w:r>
      <w:r>
        <w:t xml:space="preserve"> (2017)</w:t>
      </w:r>
      <w:r w:rsidRPr="008B704E">
        <w:t xml:space="preserve">, </w:t>
      </w:r>
      <w:r w:rsidRPr="008B704E">
        <w:rPr>
          <w:i/>
          <w:iCs/>
        </w:rPr>
        <w:t>Qu’est-ce que l’archéologie des média ?</w:t>
      </w:r>
      <w:r w:rsidRPr="008B704E">
        <w:t xml:space="preserve"> </w:t>
      </w:r>
      <w:r>
        <w:t>[</w:t>
      </w:r>
      <w:r w:rsidRPr="008B704E">
        <w:t>2012</w:t>
      </w:r>
      <w:r>
        <w:t>]</w:t>
      </w:r>
      <w:r w:rsidRPr="008B704E">
        <w:t>, traduit par Christophe Degoutin, Grenoble, UGA Éditions.</w:t>
      </w:r>
    </w:p>
    <w:p w14:paraId="75DDC85C" w14:textId="77777777" w:rsidR="001C47CE" w:rsidRPr="00802831" w:rsidRDefault="001C47CE" w:rsidP="001C47CE">
      <w:pPr>
        <w:ind w:left="567" w:hanging="567"/>
        <w:jc w:val="both"/>
        <w:rPr>
          <w:lang w:val="en-US"/>
        </w:rPr>
      </w:pPr>
      <w:r w:rsidRPr="00680E04">
        <w:t>Vérilhac Yoan</w:t>
      </w:r>
      <w:r>
        <w:t xml:space="preserve"> (2024)</w:t>
      </w:r>
      <w:r w:rsidRPr="00680E04">
        <w:t>,</w:t>
      </w:r>
      <w:r>
        <w:t xml:space="preserve"> </w:t>
      </w:r>
      <w:r w:rsidRPr="00680E04">
        <w:rPr>
          <w:i/>
          <w:iCs/>
        </w:rPr>
        <w:t>Sensationnalisme</w:t>
      </w:r>
      <w:r>
        <w:rPr>
          <w:i/>
          <w:iCs/>
        </w:rPr>
        <w:t>. E</w:t>
      </w:r>
      <w:r w:rsidRPr="00680E04">
        <w:rPr>
          <w:i/>
          <w:iCs/>
        </w:rPr>
        <w:t>nquête sur le bavardage médiatique</w:t>
      </w:r>
      <w:r w:rsidRPr="00680E04">
        <w:t xml:space="preserve">, Paris, Éditions Amsterdam, coll. </w:t>
      </w:r>
      <w:r w:rsidRPr="00802831">
        <w:rPr>
          <w:lang w:val="en-US"/>
        </w:rPr>
        <w:t>« Les prairies ordinaires ».</w:t>
      </w:r>
    </w:p>
    <w:p w14:paraId="585C7A8A" w14:textId="77777777" w:rsidR="001C47CE" w:rsidRDefault="001C47CE" w:rsidP="001C47CE">
      <w:pPr>
        <w:ind w:left="567" w:hanging="567"/>
        <w:jc w:val="both"/>
        <w:rPr>
          <w:lang w:val="en-US"/>
        </w:rPr>
      </w:pPr>
      <w:r w:rsidRPr="00680E04">
        <w:rPr>
          <w:lang w:val="en-US"/>
        </w:rPr>
        <w:t>Zielinski Siegfried</w:t>
      </w:r>
      <w:r>
        <w:rPr>
          <w:lang w:val="en-US"/>
        </w:rPr>
        <w:t xml:space="preserve"> (2006)</w:t>
      </w:r>
      <w:r w:rsidRPr="00680E04">
        <w:rPr>
          <w:lang w:val="en-US"/>
        </w:rPr>
        <w:t xml:space="preserve">, </w:t>
      </w:r>
      <w:r w:rsidRPr="00680E04">
        <w:rPr>
          <w:i/>
          <w:iCs/>
          <w:lang w:val="en-US"/>
        </w:rPr>
        <w:t>Deep Time of the Media: Toward an Archaeology of Hearing and Seeing</w:t>
      </w:r>
      <w:r w:rsidRPr="00754103">
        <w:rPr>
          <w:i/>
          <w:iCs/>
          <w:lang w:val="en-US"/>
        </w:rPr>
        <w:t xml:space="preserve"> by Technical Means</w:t>
      </w:r>
      <w:r>
        <w:rPr>
          <w:lang w:val="en-US"/>
        </w:rPr>
        <w:t xml:space="preserve"> [2002], traduit par Gloria Constance, Cambridge/Londres, MIT.</w:t>
      </w:r>
    </w:p>
    <w:p w14:paraId="6ED5E968" w14:textId="77777777" w:rsidR="001C47CE" w:rsidRPr="00B578BB" w:rsidRDefault="001C47CE" w:rsidP="001C47CE">
      <w:pPr>
        <w:jc w:val="both"/>
        <w:rPr>
          <w:lang w:val="en-US"/>
        </w:rPr>
      </w:pPr>
    </w:p>
    <w:p w14:paraId="1F681C7D" w14:textId="77777777" w:rsidR="001C47CE" w:rsidRPr="004A16BA" w:rsidRDefault="001C47CE" w:rsidP="001C47CE">
      <w:pPr>
        <w:ind w:left="851" w:hanging="851"/>
        <w:jc w:val="both"/>
        <w:rPr>
          <w:b/>
          <w:bCs/>
        </w:rPr>
      </w:pPr>
      <w:r w:rsidRPr="004A16BA">
        <w:rPr>
          <w:b/>
          <w:bCs/>
        </w:rPr>
        <w:t>Autres références citées</w:t>
      </w:r>
    </w:p>
    <w:p w14:paraId="7819BBDA" w14:textId="77777777" w:rsidR="001C47CE" w:rsidRDefault="001C47CE" w:rsidP="001C47CE">
      <w:pPr>
        <w:ind w:left="851" w:hanging="851"/>
        <w:jc w:val="both"/>
      </w:pPr>
    </w:p>
    <w:p w14:paraId="0E488F3D" w14:textId="77777777" w:rsidR="001C47CE" w:rsidRPr="004A16BA" w:rsidRDefault="001C47CE" w:rsidP="001C47CE">
      <w:pPr>
        <w:ind w:left="567" w:hanging="567"/>
        <w:jc w:val="both"/>
      </w:pPr>
      <w:r w:rsidRPr="004A16BA">
        <w:t>Artiaga Loïc, Letourneux Matthieu</w:t>
      </w:r>
      <w:r>
        <w:t xml:space="preserve"> (2022)</w:t>
      </w:r>
      <w:r w:rsidRPr="004A16BA">
        <w:t xml:space="preserve">, </w:t>
      </w:r>
      <w:r w:rsidRPr="004A16BA">
        <w:rPr>
          <w:i/>
          <w:iCs/>
        </w:rPr>
        <w:t>Aux origines de la pop culture</w:t>
      </w:r>
      <w:r>
        <w:rPr>
          <w:i/>
          <w:iCs/>
        </w:rPr>
        <w:t>. L</w:t>
      </w:r>
      <w:r w:rsidRPr="004A16BA">
        <w:rPr>
          <w:i/>
          <w:iCs/>
        </w:rPr>
        <w:t>e Fleuve noir et les Presses de la Cité au cœur du transmédia à la française, 1945-1990</w:t>
      </w:r>
      <w:r w:rsidRPr="004A16BA">
        <w:t>, Paris, La Découverte.</w:t>
      </w:r>
    </w:p>
    <w:p w14:paraId="10ABC000" w14:textId="77777777" w:rsidR="001C47CE" w:rsidRPr="004A16BA" w:rsidRDefault="001C47CE" w:rsidP="001C47CE">
      <w:pPr>
        <w:ind w:left="567" w:hanging="567"/>
        <w:jc w:val="both"/>
      </w:pPr>
      <w:r w:rsidRPr="004A16BA">
        <w:t>Bardini</w:t>
      </w:r>
      <w:r>
        <w:t xml:space="preserve"> </w:t>
      </w:r>
      <w:r w:rsidRPr="004A16BA">
        <w:t>Thierry</w:t>
      </w:r>
      <w:r>
        <w:t xml:space="preserve"> </w:t>
      </w:r>
      <w:r w:rsidRPr="004A16BA">
        <w:t>(2016)</w:t>
      </w:r>
      <w:r>
        <w:t>, « </w:t>
      </w:r>
      <w:r w:rsidRPr="004A16BA">
        <w:t>Entre</w:t>
      </w:r>
      <w:r>
        <w:t xml:space="preserve"> </w:t>
      </w:r>
      <w:r w:rsidRPr="004A16BA">
        <w:t>archéologie</w:t>
      </w:r>
      <w:r>
        <w:t xml:space="preserve"> </w:t>
      </w:r>
      <w:r w:rsidRPr="004A16BA">
        <w:t>et</w:t>
      </w:r>
      <w:r>
        <w:t xml:space="preserve"> </w:t>
      </w:r>
      <w:r w:rsidRPr="004A16BA">
        <w:t>écologie Une perspective sur la théorie médiatique</w:t>
      </w:r>
      <w:r>
        <w:t xml:space="preserve"> », </w:t>
      </w:r>
      <w:r w:rsidRPr="004A16BA">
        <w:rPr>
          <w:i/>
          <w:iCs/>
        </w:rPr>
        <w:t>Multitudes</w:t>
      </w:r>
      <w:r w:rsidRPr="004A16BA">
        <w:t>,</w:t>
      </w:r>
      <w:r w:rsidRPr="004A16BA">
        <w:rPr>
          <w:i/>
          <w:iCs/>
        </w:rPr>
        <w:t xml:space="preserve"> </w:t>
      </w:r>
      <w:r w:rsidRPr="004A16BA">
        <w:t>n° 62,</w:t>
      </w:r>
      <w:r>
        <w:t xml:space="preserve"> p. </w:t>
      </w:r>
      <w:r w:rsidRPr="004A16BA">
        <w:t>159-168</w:t>
      </w:r>
      <w:r>
        <w:t xml:space="preserve">, </w:t>
      </w:r>
      <w:hyperlink r:id="rId12" w:history="1">
        <w:r w:rsidRPr="00A32A3A">
          <w:rPr>
            <w:rStyle w:val="Lienhypertexte"/>
          </w:rPr>
          <w:t>https://doi.org/10.3917/mult.062.0159</w:t>
        </w:r>
      </w:hyperlink>
      <w:r w:rsidRPr="004A16BA">
        <w:t>.</w:t>
      </w:r>
    </w:p>
    <w:p w14:paraId="27F17341" w14:textId="77777777" w:rsidR="001C47CE" w:rsidRPr="008046E5" w:rsidRDefault="001C47CE" w:rsidP="001C47CE">
      <w:pPr>
        <w:ind w:left="567" w:hanging="567"/>
        <w:jc w:val="both"/>
      </w:pPr>
      <w:r w:rsidRPr="008046E5">
        <w:t xml:space="preserve">Baudou Jacques (1997), </w:t>
      </w:r>
      <w:r w:rsidRPr="008046E5">
        <w:rPr>
          <w:i/>
        </w:rPr>
        <w:t>Radio Mystères. Le théâtre radiophonique policier</w:t>
      </w:r>
      <w:r w:rsidRPr="008046E5">
        <w:rPr>
          <w:iCs/>
        </w:rPr>
        <w:t>,</w:t>
      </w:r>
      <w:r w:rsidRPr="008046E5">
        <w:t xml:space="preserve"> Amiens, Encrage.</w:t>
      </w:r>
    </w:p>
    <w:p w14:paraId="74DF4161" w14:textId="77777777" w:rsidR="001C47CE" w:rsidRPr="008046E5" w:rsidRDefault="001C47CE" w:rsidP="001C47CE">
      <w:pPr>
        <w:ind w:left="567" w:hanging="567"/>
        <w:jc w:val="both"/>
      </w:pPr>
      <w:r w:rsidRPr="008046E5">
        <w:rPr>
          <w:rStyle w:val="lev"/>
          <w:rFonts w:eastAsiaTheme="majorEastAsia"/>
          <w:b w:val="0"/>
          <w:bCs w:val="0"/>
        </w:rPr>
        <w:t xml:space="preserve">Besson Anne (2015), </w:t>
      </w:r>
      <w:r w:rsidRPr="008046E5">
        <w:rPr>
          <w:rStyle w:val="lev"/>
          <w:rFonts w:eastAsiaTheme="majorEastAsia"/>
          <w:b w:val="0"/>
          <w:bCs w:val="0"/>
          <w:i/>
          <w:iCs/>
        </w:rPr>
        <w:t>Constellations. Des mondes fictionnels dans l’imaginaire contemporain</w:t>
      </w:r>
      <w:r w:rsidRPr="008046E5">
        <w:rPr>
          <w:rStyle w:val="lev"/>
          <w:rFonts w:eastAsiaTheme="majorEastAsia"/>
          <w:b w:val="0"/>
          <w:bCs w:val="0"/>
        </w:rPr>
        <w:t>, Paris, CNRS Éditions.</w:t>
      </w:r>
    </w:p>
    <w:p w14:paraId="33DC0BFE" w14:textId="77777777" w:rsidR="001C47CE" w:rsidRDefault="001C47CE" w:rsidP="001C47CE">
      <w:pPr>
        <w:ind w:left="567" w:hanging="567"/>
        <w:jc w:val="both"/>
      </w:pPr>
      <w:r w:rsidRPr="004A16BA">
        <w:t>Bonvoisin Aurélien</w:t>
      </w:r>
      <w:r>
        <w:t xml:space="preserve"> (2020)</w:t>
      </w:r>
      <w:r w:rsidRPr="004A16BA">
        <w:t>, « Disque compact et pratiques musicales des jeunes en France (années 1980</w:t>
      </w:r>
      <w:r>
        <w:t>-</w:t>
      </w:r>
      <w:r w:rsidRPr="004A16BA">
        <w:t xml:space="preserve">années 2000) », </w:t>
      </w:r>
      <w:r w:rsidRPr="004A16BA">
        <w:rPr>
          <w:i/>
          <w:iCs/>
        </w:rPr>
        <w:t>Soci</w:t>
      </w:r>
      <w:r>
        <w:rPr>
          <w:i/>
          <w:iCs/>
        </w:rPr>
        <w:t>é</w:t>
      </w:r>
      <w:r w:rsidRPr="004A16BA">
        <w:rPr>
          <w:i/>
          <w:iCs/>
        </w:rPr>
        <w:t>t</w:t>
      </w:r>
      <w:r>
        <w:rPr>
          <w:i/>
          <w:iCs/>
        </w:rPr>
        <w:t>é</w:t>
      </w:r>
      <w:r w:rsidRPr="004A16BA">
        <w:rPr>
          <w:i/>
          <w:iCs/>
        </w:rPr>
        <w:t xml:space="preserve">s </w:t>
      </w:r>
      <w:r>
        <w:rPr>
          <w:i/>
          <w:iCs/>
        </w:rPr>
        <w:t xml:space="preserve">&amp; </w:t>
      </w:r>
      <w:r w:rsidRPr="004A16BA">
        <w:rPr>
          <w:i/>
          <w:iCs/>
        </w:rPr>
        <w:t>Représentations</w:t>
      </w:r>
      <w:r w:rsidRPr="004A16BA">
        <w:t xml:space="preserve">, </w:t>
      </w:r>
      <w:r>
        <w:t>n° </w:t>
      </w:r>
      <w:r w:rsidRPr="004A16BA">
        <w:t>49, p. 119</w:t>
      </w:r>
      <w:r w:rsidRPr="004A16BA">
        <w:noBreakHyphen/>
        <w:t>133</w:t>
      </w:r>
      <w:r>
        <w:t xml:space="preserve">, </w:t>
      </w:r>
      <w:hyperlink r:id="rId13" w:history="1">
        <w:r>
          <w:rPr>
            <w:rStyle w:val="Lienhypertexte"/>
            <w:rFonts w:eastAsiaTheme="majorEastAsia"/>
          </w:rPr>
          <w:t>https://doi.org/10.3917/sr.049.0119</w:t>
        </w:r>
      </w:hyperlink>
      <w:r>
        <w:t>.</w:t>
      </w:r>
    </w:p>
    <w:p w14:paraId="1BC4DC61" w14:textId="77777777" w:rsidR="001C47CE" w:rsidRPr="004A16BA" w:rsidRDefault="001C47CE" w:rsidP="001C47CE">
      <w:pPr>
        <w:ind w:left="851" w:hanging="851"/>
        <w:jc w:val="both"/>
      </w:pPr>
      <w:r w:rsidRPr="00383A3A">
        <w:t>Cerisier Alban, Huret Jean-Étienne</w:t>
      </w:r>
      <w:r>
        <w:t xml:space="preserve"> (2007)</w:t>
      </w:r>
      <w:r w:rsidRPr="00383A3A">
        <w:t xml:space="preserve">, </w:t>
      </w:r>
      <w:r w:rsidRPr="00383A3A">
        <w:rPr>
          <w:i/>
        </w:rPr>
        <w:t xml:space="preserve">Le </w:t>
      </w:r>
      <w:r>
        <w:rPr>
          <w:i/>
        </w:rPr>
        <w:t>C</w:t>
      </w:r>
      <w:r w:rsidRPr="00383A3A">
        <w:rPr>
          <w:i/>
        </w:rPr>
        <w:t>lub du meilleur livre (1952-1963)</w:t>
      </w:r>
      <w:r w:rsidRPr="00383A3A">
        <w:t>, Paris, Librairie Huret.</w:t>
      </w:r>
    </w:p>
    <w:p w14:paraId="6A472531" w14:textId="77777777" w:rsidR="001C47CE" w:rsidRPr="00E756C6" w:rsidRDefault="001C47CE" w:rsidP="001C47CE">
      <w:pPr>
        <w:ind w:left="567" w:hanging="567"/>
        <w:jc w:val="both"/>
        <w:rPr>
          <w:lang w:val="en-US"/>
        </w:rPr>
      </w:pPr>
      <w:r w:rsidRPr="004A16BA">
        <w:t>Chabrier Amélie</w:t>
      </w:r>
      <w:r>
        <w:t xml:space="preserve">, </w:t>
      </w:r>
      <w:r w:rsidRPr="004A16BA">
        <w:t>Thérenty Marie-Ève</w:t>
      </w:r>
      <w:r>
        <w:t xml:space="preserve"> (2017)</w:t>
      </w:r>
      <w:r w:rsidRPr="004A16BA">
        <w:t xml:space="preserve">, </w:t>
      </w:r>
      <w:r w:rsidRPr="004A16BA">
        <w:rPr>
          <w:i/>
          <w:iCs/>
        </w:rPr>
        <w:t xml:space="preserve">« Détective », fabrique de crimes ? </w:t>
      </w:r>
      <w:r w:rsidRPr="00E756C6">
        <w:rPr>
          <w:i/>
          <w:iCs/>
          <w:lang w:val="en-US"/>
        </w:rPr>
        <w:t>1928-1940</w:t>
      </w:r>
      <w:r w:rsidRPr="00E756C6">
        <w:rPr>
          <w:lang w:val="en-US"/>
        </w:rPr>
        <w:t>, Nantes, Joseph K.</w:t>
      </w:r>
    </w:p>
    <w:p w14:paraId="466AAC3B" w14:textId="77777777" w:rsidR="001C47CE" w:rsidRPr="004A16BA" w:rsidRDefault="001C47CE" w:rsidP="001C47CE">
      <w:pPr>
        <w:ind w:left="567" w:hanging="567"/>
        <w:jc w:val="both"/>
      </w:pPr>
      <w:r w:rsidRPr="005A6BB0">
        <w:rPr>
          <w:lang w:val="en-US"/>
        </w:rPr>
        <w:t xml:space="preserve">Coulmont Baptiste, Roca Ortiz Irene (2007), </w:t>
      </w:r>
      <w:r w:rsidRPr="005A6BB0">
        <w:rPr>
          <w:i/>
          <w:iCs/>
          <w:lang w:val="en-US"/>
        </w:rPr>
        <w:t xml:space="preserve">Sex-shops. </w:t>
      </w:r>
      <w:r>
        <w:rPr>
          <w:i/>
          <w:iCs/>
        </w:rPr>
        <w:t>U</w:t>
      </w:r>
      <w:r w:rsidRPr="004A16BA">
        <w:rPr>
          <w:i/>
          <w:iCs/>
        </w:rPr>
        <w:t>ne histoire française</w:t>
      </w:r>
      <w:r w:rsidRPr="004A16BA">
        <w:t>, Paris, Dilecta.</w:t>
      </w:r>
    </w:p>
    <w:p w14:paraId="055E2EB3" w14:textId="77777777" w:rsidR="001C47CE" w:rsidRPr="00BD2B01" w:rsidRDefault="001C47CE" w:rsidP="001C47CE">
      <w:pPr>
        <w:ind w:left="567" w:hanging="567"/>
        <w:jc w:val="both"/>
      </w:pPr>
      <w:r w:rsidRPr="005A6BB0">
        <w:rPr>
          <w:lang w:val="en-US"/>
        </w:rPr>
        <w:t>Crary Jonathan (1999)</w:t>
      </w:r>
      <w:r>
        <w:rPr>
          <w:lang w:val="en-US"/>
        </w:rPr>
        <w:t xml:space="preserve">, </w:t>
      </w:r>
      <w:r w:rsidRPr="005A6BB0">
        <w:rPr>
          <w:i/>
          <w:iCs/>
          <w:lang w:val="en-US"/>
        </w:rPr>
        <w:t xml:space="preserve">Suspensions of Perception. </w:t>
      </w:r>
      <w:r w:rsidRPr="00BD2B01">
        <w:rPr>
          <w:i/>
          <w:iCs/>
        </w:rPr>
        <w:t>Attention, Spectacle, and Modern Culture</w:t>
      </w:r>
      <w:r w:rsidRPr="00BD2B01">
        <w:t>, Cambridge, MIT Press.</w:t>
      </w:r>
    </w:p>
    <w:p w14:paraId="093245A6" w14:textId="77777777" w:rsidR="001C47CE" w:rsidRPr="004A16BA" w:rsidRDefault="001C47CE" w:rsidP="001C47CE">
      <w:pPr>
        <w:ind w:left="567" w:hanging="567"/>
        <w:jc w:val="both"/>
      </w:pPr>
      <w:r w:rsidRPr="004A16BA">
        <w:t>Fevry Sébastien, Marion Philippe</w:t>
      </w:r>
      <w:r>
        <w:t xml:space="preserve"> (2022)</w:t>
      </w:r>
      <w:r w:rsidRPr="004A16BA">
        <w:t xml:space="preserve">, « Récit et projection lumineuse. Regard épistémologique sur la narrativité de la lanterne », </w:t>
      </w:r>
      <w:r w:rsidRPr="004A16BA">
        <w:rPr>
          <w:i/>
          <w:iCs/>
        </w:rPr>
        <w:t>Cahiers de Narratologie. Analyse et théorie narratives</w:t>
      </w:r>
      <w:r w:rsidRPr="004A16BA">
        <w:t xml:space="preserve">, </w:t>
      </w:r>
      <w:r>
        <w:t>n° </w:t>
      </w:r>
      <w:r w:rsidRPr="004A16BA">
        <w:t xml:space="preserve">41, </w:t>
      </w:r>
      <w:hyperlink r:id="rId14" w:history="1">
        <w:r>
          <w:rPr>
            <w:rStyle w:val="Lienhypertexte"/>
            <w:rFonts w:eastAsiaTheme="majorEastAsia"/>
          </w:rPr>
          <w:t>https://doi.org/10.4000/narratologie.13397</w:t>
        </w:r>
      </w:hyperlink>
      <w:r>
        <w:t xml:space="preserve">. </w:t>
      </w:r>
    </w:p>
    <w:p w14:paraId="68A6A2C1" w14:textId="77777777" w:rsidR="001C47CE" w:rsidRPr="004A16BA" w:rsidRDefault="001C47CE" w:rsidP="001C47CE">
      <w:pPr>
        <w:ind w:left="567" w:hanging="567"/>
        <w:jc w:val="both"/>
      </w:pPr>
      <w:r w:rsidRPr="004A16BA">
        <w:t xml:space="preserve">Gaudreault André (2008), </w:t>
      </w:r>
      <w:r w:rsidRPr="004A16BA">
        <w:rPr>
          <w:i/>
          <w:iCs/>
        </w:rPr>
        <w:t>Cinéma et attraction. Pour une nouvelle histoire du cinématographe</w:t>
      </w:r>
      <w:r w:rsidRPr="004A16BA">
        <w:t xml:space="preserve">, </w:t>
      </w:r>
      <w:r>
        <w:t xml:space="preserve">Paris, </w:t>
      </w:r>
      <w:r w:rsidRPr="004A16BA">
        <w:t>CNRS Éditions.</w:t>
      </w:r>
    </w:p>
    <w:p w14:paraId="5BBEC1D2" w14:textId="77777777" w:rsidR="001C47CE" w:rsidRPr="004A16BA" w:rsidRDefault="001C47CE" w:rsidP="001C47CE">
      <w:pPr>
        <w:ind w:left="567" w:hanging="567"/>
        <w:jc w:val="both"/>
        <w:rPr>
          <w:lang w:val="en-US"/>
        </w:rPr>
      </w:pPr>
      <w:r w:rsidRPr="004A16BA">
        <w:rPr>
          <w:lang w:val="en-US"/>
        </w:rPr>
        <w:t xml:space="preserve">Gitelman Lisa (2006), </w:t>
      </w:r>
      <w:r w:rsidRPr="004A16BA">
        <w:rPr>
          <w:i/>
          <w:iCs/>
          <w:lang w:val="en-US"/>
        </w:rPr>
        <w:t>Always Already New: Media, History and the Data of Culture</w:t>
      </w:r>
      <w:r w:rsidRPr="004A16BA">
        <w:rPr>
          <w:lang w:val="en-US"/>
        </w:rPr>
        <w:t>, Cambridge, MIT Press.</w:t>
      </w:r>
    </w:p>
    <w:p w14:paraId="401E6ADC" w14:textId="77777777" w:rsidR="001C47CE" w:rsidRPr="004A16BA" w:rsidRDefault="001C47CE" w:rsidP="001C47CE">
      <w:pPr>
        <w:ind w:left="567" w:hanging="567"/>
        <w:jc w:val="both"/>
      </w:pPr>
      <w:r w:rsidRPr="004A16BA">
        <w:t>Glaude Benoît</w:t>
      </w:r>
      <w:r>
        <w:t xml:space="preserve"> (2024)</w:t>
      </w:r>
      <w:r w:rsidRPr="004A16BA">
        <w:t xml:space="preserve">, </w:t>
      </w:r>
      <w:r w:rsidRPr="004A16BA">
        <w:rPr>
          <w:i/>
          <w:iCs/>
        </w:rPr>
        <w:t>Écouter la bande dessinée</w:t>
      </w:r>
      <w:r w:rsidRPr="004A16BA">
        <w:t>, Bruxelles, les Impressions nouvelles.</w:t>
      </w:r>
    </w:p>
    <w:p w14:paraId="69F63E08" w14:textId="77777777" w:rsidR="001C47CE" w:rsidRDefault="001C47CE" w:rsidP="001C47CE">
      <w:pPr>
        <w:ind w:left="567" w:hanging="567"/>
        <w:jc w:val="both"/>
      </w:pPr>
      <w:r w:rsidRPr="004A16BA">
        <w:lastRenderedPageBreak/>
        <w:t>Goudmand Anaïs</w:t>
      </w:r>
      <w:r>
        <w:t xml:space="preserve"> (2023)</w:t>
      </w:r>
      <w:r w:rsidRPr="004A16BA">
        <w:t xml:space="preserve">, « Conséquences narratives de la plateformisation des franchises cinématographiques : le cas de Disney+ », </w:t>
      </w:r>
      <w:r w:rsidRPr="004A16BA">
        <w:rPr>
          <w:i/>
          <w:iCs/>
        </w:rPr>
        <w:t>Cahiers de Narratologie. Analyse et théorie narratives</w:t>
      </w:r>
      <w:r w:rsidRPr="004A16BA">
        <w:t xml:space="preserve">, </w:t>
      </w:r>
      <w:r>
        <w:t>n°</w:t>
      </w:r>
      <w:r w:rsidRPr="004A16BA">
        <w:t xml:space="preserve"> 43, 2023, </w:t>
      </w:r>
      <w:hyperlink r:id="rId15" w:history="1">
        <w:r>
          <w:rPr>
            <w:rStyle w:val="Lienhypertexte"/>
            <w:rFonts w:eastAsiaTheme="majorEastAsia"/>
          </w:rPr>
          <w:t>https://doi.org/10.4000/narratologie.14441</w:t>
        </w:r>
      </w:hyperlink>
      <w:r>
        <w:t xml:space="preserve">. </w:t>
      </w:r>
    </w:p>
    <w:p w14:paraId="4E491897" w14:textId="13AF8C68" w:rsidR="008046E5" w:rsidRPr="004A16BA" w:rsidRDefault="008046E5" w:rsidP="008046E5">
      <w:pPr>
        <w:ind w:left="567" w:hanging="567"/>
        <w:jc w:val="both"/>
      </w:pPr>
      <w:r w:rsidRPr="00754103">
        <w:t>Gunning Tom</w:t>
      </w:r>
      <w:r>
        <w:t xml:space="preserve"> (2006)</w:t>
      </w:r>
      <w:r w:rsidRPr="00754103">
        <w:t xml:space="preserve">, « Le Cinéma d’attraction : le film des premiers temps, son spectateur, et l’avant-garde » </w:t>
      </w:r>
      <w:r>
        <w:t>[</w:t>
      </w:r>
      <w:r w:rsidRPr="00754103">
        <w:t>1990</w:t>
      </w:r>
      <w:r>
        <w:t>]</w:t>
      </w:r>
      <w:r w:rsidRPr="00754103">
        <w:t>, trad</w:t>
      </w:r>
      <w:r>
        <w:t>uit par</w:t>
      </w:r>
      <w:r w:rsidRPr="00754103">
        <w:t xml:space="preserve"> </w:t>
      </w:r>
      <w:r w:rsidRPr="003731B7">
        <w:t>Franck Le Gac</w:t>
      </w:r>
      <w:r>
        <w:t>,</w:t>
      </w:r>
      <w:r w:rsidRPr="00754103">
        <w:rPr>
          <w:i/>
          <w:iCs/>
        </w:rPr>
        <w:t xml:space="preserve"> 1895. Mille huit cent quatre-vingt-quinze</w:t>
      </w:r>
      <w:r w:rsidRPr="00754103">
        <w:t>,</w:t>
      </w:r>
      <w:r>
        <w:t xml:space="preserve"> n° </w:t>
      </w:r>
      <w:r w:rsidRPr="003731B7">
        <w:t>50, p. 55</w:t>
      </w:r>
      <w:r w:rsidRPr="003731B7">
        <w:noBreakHyphen/>
        <w:t xml:space="preserve">65, </w:t>
      </w:r>
      <w:hyperlink r:id="rId16" w:history="1">
        <w:r w:rsidRPr="00A32A3A">
          <w:rPr>
            <w:rStyle w:val="Lienhypertexte"/>
          </w:rPr>
          <w:t>https://doi.org/10.4000/1895.1242</w:t>
        </w:r>
      </w:hyperlink>
      <w:r>
        <w:t xml:space="preserve">. </w:t>
      </w:r>
    </w:p>
    <w:p w14:paraId="26B69705" w14:textId="77777777" w:rsidR="001C47CE" w:rsidRPr="004A16BA" w:rsidRDefault="001C47CE" w:rsidP="001C47CE">
      <w:pPr>
        <w:ind w:left="567" w:hanging="567"/>
        <w:jc w:val="both"/>
      </w:pPr>
      <w:r w:rsidRPr="004A16BA">
        <w:t xml:space="preserve">Guez Emmanuel (dir.) (2014), </w:t>
      </w:r>
      <w:r w:rsidRPr="004A16BA">
        <w:rPr>
          <w:i/>
          <w:iCs/>
        </w:rPr>
        <w:t>MCD. Magazine des cultures digitales</w:t>
      </w:r>
      <w:r w:rsidRPr="004A16BA">
        <w:t xml:space="preserve">, n° 75, dossier « Archéologie des média », septembre-novembre 2014, </w:t>
      </w:r>
      <w:hyperlink r:id="rId17" w:history="1">
        <w:r w:rsidRPr="004A16BA">
          <w:rPr>
            <w:rStyle w:val="Lienhypertexte"/>
          </w:rPr>
          <w:t>https://www.digitalmcd.com/mcd-75-archeologie-des-media/</w:t>
        </w:r>
      </w:hyperlink>
      <w:r w:rsidRPr="004A16BA">
        <w:t xml:space="preserve">. </w:t>
      </w:r>
    </w:p>
    <w:p w14:paraId="45CC53B0" w14:textId="77777777" w:rsidR="001C47CE" w:rsidRPr="004A16BA" w:rsidRDefault="001C47CE" w:rsidP="001C47CE">
      <w:pPr>
        <w:ind w:left="567" w:hanging="567"/>
        <w:jc w:val="both"/>
      </w:pPr>
      <w:r w:rsidRPr="004A16BA">
        <w:t>Hebdige Dick</w:t>
      </w:r>
      <w:r>
        <w:t xml:space="preserve"> (2008)</w:t>
      </w:r>
      <w:r w:rsidRPr="004A16BA">
        <w:t xml:space="preserve">, </w:t>
      </w:r>
      <w:r w:rsidRPr="004A16BA">
        <w:rPr>
          <w:i/>
          <w:iCs/>
        </w:rPr>
        <w:t>Sous-culture</w:t>
      </w:r>
      <w:r>
        <w:rPr>
          <w:i/>
          <w:iCs/>
        </w:rPr>
        <w:t>. L</w:t>
      </w:r>
      <w:r w:rsidRPr="004A16BA">
        <w:rPr>
          <w:i/>
          <w:iCs/>
        </w:rPr>
        <w:t>e sens du style</w:t>
      </w:r>
      <w:r w:rsidRPr="004A16BA">
        <w:t xml:space="preserve"> </w:t>
      </w:r>
      <w:r>
        <w:t>[</w:t>
      </w:r>
      <w:r w:rsidRPr="004A16BA">
        <w:t>1979</w:t>
      </w:r>
      <w:r>
        <w:t>]</w:t>
      </w:r>
      <w:r w:rsidRPr="004A16BA">
        <w:t>, Paris, Zones.</w:t>
      </w:r>
    </w:p>
    <w:p w14:paraId="4AB35B9B" w14:textId="77777777" w:rsidR="001C47CE" w:rsidRPr="004A16BA" w:rsidRDefault="001C47CE" w:rsidP="001C47CE">
      <w:pPr>
        <w:ind w:left="567" w:hanging="567"/>
        <w:jc w:val="both"/>
      </w:pPr>
      <w:r w:rsidRPr="008D0631">
        <w:t>Heintzen Jean-François</w:t>
      </w:r>
      <w:r>
        <w:t xml:space="preserve"> </w:t>
      </w:r>
      <w:r w:rsidRPr="008D0631">
        <w:t>« Maxou »</w:t>
      </w:r>
      <w:r>
        <w:t xml:space="preserve"> (2022)</w:t>
      </w:r>
      <w:r w:rsidRPr="008D0631">
        <w:t xml:space="preserve">, </w:t>
      </w:r>
      <w:r w:rsidRPr="008D0631">
        <w:rPr>
          <w:i/>
        </w:rPr>
        <w:t>Chanter le crime</w:t>
      </w:r>
      <w:r>
        <w:rPr>
          <w:i/>
        </w:rPr>
        <w:t xml:space="preserve">. </w:t>
      </w:r>
      <w:r w:rsidRPr="008D0631">
        <w:rPr>
          <w:i/>
        </w:rPr>
        <w:t>Canards sanglants &amp; complaintes tragiques</w:t>
      </w:r>
      <w:r w:rsidRPr="008D0631">
        <w:t>, Saint-Pourçain-sur-Sioule, Bleu autour.</w:t>
      </w:r>
    </w:p>
    <w:p w14:paraId="5DCE2CE3" w14:textId="77777777" w:rsidR="001C47CE" w:rsidRPr="00556EF4" w:rsidRDefault="001C47CE" w:rsidP="001C47CE">
      <w:pPr>
        <w:ind w:left="567" w:hanging="567"/>
        <w:jc w:val="both"/>
      </w:pPr>
      <w:r w:rsidRPr="00556EF4">
        <w:t xml:space="preserve">Kittler Friedrich (2018), </w:t>
      </w:r>
      <w:r w:rsidRPr="00556EF4">
        <w:rPr>
          <w:i/>
          <w:iCs/>
        </w:rPr>
        <w:t>Gramophone, film, typewriter</w:t>
      </w:r>
      <w:r w:rsidRPr="00556EF4">
        <w:t xml:space="preserve"> [1986], traduit par </w:t>
      </w:r>
      <w:r>
        <w:t xml:space="preserve">Frédérique Vargoz, </w:t>
      </w:r>
      <w:r w:rsidRPr="00556EF4">
        <w:t xml:space="preserve">Dijon, Les Presses du reel, coll. </w:t>
      </w:r>
      <w:r>
        <w:t>« </w:t>
      </w:r>
      <w:r w:rsidRPr="00556EF4">
        <w:t>Médias/théories</w:t>
      </w:r>
      <w:r>
        <w:t> ».</w:t>
      </w:r>
    </w:p>
    <w:p w14:paraId="499CE9AA" w14:textId="77777777" w:rsidR="001C47CE" w:rsidRPr="004A16BA" w:rsidRDefault="001C47CE" w:rsidP="001C47CE">
      <w:pPr>
        <w:ind w:left="567" w:hanging="567"/>
        <w:jc w:val="both"/>
      </w:pPr>
      <w:r w:rsidRPr="004A16BA">
        <w:t>Le Pajolec Sébastien</w:t>
      </w:r>
      <w:r>
        <w:t xml:space="preserve"> (2023)</w:t>
      </w:r>
      <w:r w:rsidRPr="004A16BA">
        <w:t xml:space="preserve">, « Pour une histoire culturelle de la vidéo domestique », </w:t>
      </w:r>
      <w:r w:rsidRPr="004A16BA">
        <w:rPr>
          <w:i/>
          <w:iCs/>
        </w:rPr>
        <w:t>Sociétés &amp; Représentations</w:t>
      </w:r>
      <w:r w:rsidRPr="004A16BA">
        <w:t xml:space="preserve">, </w:t>
      </w:r>
      <w:r>
        <w:t>n° </w:t>
      </w:r>
      <w:r w:rsidRPr="004A16BA">
        <w:t>56, 2023, p. 213</w:t>
      </w:r>
      <w:r w:rsidRPr="004A16BA">
        <w:noBreakHyphen/>
        <w:t xml:space="preserve">226, </w:t>
      </w:r>
      <w:hyperlink r:id="rId18" w:history="1">
        <w:r>
          <w:rPr>
            <w:rStyle w:val="Lienhypertexte"/>
            <w:rFonts w:eastAsiaTheme="majorEastAsia"/>
          </w:rPr>
          <w:t>https://doi.org/10.3917/sr.056.0213</w:t>
        </w:r>
      </w:hyperlink>
      <w:r>
        <w:t>.</w:t>
      </w:r>
    </w:p>
    <w:p w14:paraId="23BCF97F" w14:textId="77777777" w:rsidR="001C47CE" w:rsidRPr="004A16BA" w:rsidRDefault="001C47CE" w:rsidP="001C47CE">
      <w:pPr>
        <w:ind w:left="567" w:hanging="567"/>
        <w:jc w:val="both"/>
      </w:pPr>
      <w:r>
        <w:t>Lesage</w:t>
      </w:r>
      <w:r w:rsidRPr="004A16BA">
        <w:t xml:space="preserve"> Sylvain</w:t>
      </w:r>
      <w:r>
        <w:t xml:space="preserve"> (2019),</w:t>
      </w:r>
      <w:r w:rsidRPr="004A16BA">
        <w:t xml:space="preserve"> </w:t>
      </w:r>
      <w:r w:rsidRPr="004A16BA">
        <w:rPr>
          <w:rStyle w:val="Accentuation"/>
          <w:rFonts w:eastAsiaTheme="majorEastAsia"/>
        </w:rPr>
        <w:t>L’Effet livre</w:t>
      </w:r>
      <w:r>
        <w:rPr>
          <w:rStyle w:val="Accentuation"/>
          <w:rFonts w:eastAsiaTheme="majorEastAsia"/>
        </w:rPr>
        <w:t>. M</w:t>
      </w:r>
      <w:r w:rsidRPr="004A16BA">
        <w:rPr>
          <w:rStyle w:val="Accentuation"/>
          <w:rFonts w:eastAsiaTheme="majorEastAsia"/>
        </w:rPr>
        <w:t>étamorphose</w:t>
      </w:r>
      <w:r>
        <w:rPr>
          <w:rStyle w:val="Accentuation"/>
          <w:rFonts w:eastAsiaTheme="majorEastAsia"/>
        </w:rPr>
        <w:t>s</w:t>
      </w:r>
      <w:r w:rsidRPr="004A16BA">
        <w:rPr>
          <w:rStyle w:val="Accentuation"/>
          <w:rFonts w:eastAsiaTheme="majorEastAsia"/>
        </w:rPr>
        <w:t xml:space="preserve"> de la bande dessinée</w:t>
      </w:r>
      <w:r>
        <w:t xml:space="preserve">, Tours, </w:t>
      </w:r>
      <w:r w:rsidRPr="004A16BA">
        <w:t>Presses universitaires François Rabelais,</w:t>
      </w:r>
      <w:r>
        <w:t xml:space="preserve"> coll. « Iconotextes »</w:t>
      </w:r>
      <w:r w:rsidRPr="004A16BA">
        <w:t>.</w:t>
      </w:r>
    </w:p>
    <w:p w14:paraId="23BC55B4" w14:textId="77777777" w:rsidR="001C47CE" w:rsidRPr="004A16BA" w:rsidRDefault="001C47CE" w:rsidP="001C47CE">
      <w:pPr>
        <w:ind w:left="567" w:hanging="567"/>
        <w:jc w:val="both"/>
      </w:pPr>
      <w:r w:rsidRPr="00AD02ED">
        <w:t>Méadel Cécile</w:t>
      </w:r>
      <w:r>
        <w:t xml:space="preserve"> (1994)</w:t>
      </w:r>
      <w:r w:rsidRPr="00AD02ED">
        <w:t xml:space="preserve">, </w:t>
      </w:r>
      <w:r w:rsidRPr="00AD02ED">
        <w:rPr>
          <w:i/>
        </w:rPr>
        <w:t xml:space="preserve">L’Histoire de la radio des années </w:t>
      </w:r>
      <w:r>
        <w:rPr>
          <w:i/>
        </w:rPr>
        <w:t>trente. Du sans-filiste à l’auditeur</w:t>
      </w:r>
      <w:r w:rsidRPr="00AD02ED">
        <w:t xml:space="preserve">, </w:t>
      </w:r>
      <w:r>
        <w:t xml:space="preserve">Paris, </w:t>
      </w:r>
      <w:r w:rsidRPr="00AD02ED">
        <w:t>Anthropos/INA</w:t>
      </w:r>
      <w:r>
        <w:t>, coll. « Histoires ».</w:t>
      </w:r>
    </w:p>
    <w:p w14:paraId="0B30A8B2" w14:textId="77777777" w:rsidR="001C47CE" w:rsidRDefault="001C47CE" w:rsidP="001C47CE">
      <w:pPr>
        <w:ind w:left="567" w:hanging="567"/>
        <w:jc w:val="both"/>
      </w:pPr>
      <w:r w:rsidRPr="004A16BA">
        <w:t>Orillard Audrey</w:t>
      </w:r>
      <w:r>
        <w:t xml:space="preserve"> (2018)</w:t>
      </w:r>
      <w:r w:rsidRPr="004A16BA">
        <w:t xml:space="preserve">, « Le scopitone est-il un ancêtre du clip ? », </w:t>
      </w:r>
      <w:r w:rsidRPr="004A16BA">
        <w:rPr>
          <w:i/>
          <w:iCs/>
        </w:rPr>
        <w:t>Volume !</w:t>
      </w:r>
      <w:r w:rsidRPr="004A16BA">
        <w:t xml:space="preserve">, </w:t>
      </w:r>
      <w:r>
        <w:t>n° 14/2, dossier « Watching music »,</w:t>
      </w:r>
      <w:r w:rsidRPr="004A16BA">
        <w:t xml:space="preserve"> p. 41</w:t>
      </w:r>
      <w:r w:rsidRPr="004A16BA">
        <w:noBreakHyphen/>
        <w:t xml:space="preserve">54, </w:t>
      </w:r>
      <w:hyperlink r:id="rId19" w:history="1">
        <w:r>
          <w:rPr>
            <w:rStyle w:val="Lienhypertexte"/>
            <w:rFonts w:eastAsiaTheme="majorEastAsia"/>
          </w:rPr>
          <w:t>https://doi.org/10.4000/volume.5544</w:t>
        </w:r>
      </w:hyperlink>
      <w:r w:rsidRPr="004A16BA">
        <w:t xml:space="preserve"> </w:t>
      </w:r>
      <w:r>
        <w:t xml:space="preserve">. </w:t>
      </w:r>
    </w:p>
    <w:p w14:paraId="64C46105" w14:textId="77777777" w:rsidR="001C47CE" w:rsidRPr="004A16BA" w:rsidRDefault="001C47CE" w:rsidP="001C47CE">
      <w:pPr>
        <w:ind w:left="567" w:hanging="567"/>
        <w:jc w:val="both"/>
      </w:pPr>
      <w:r w:rsidRPr="004A16BA">
        <w:t>Sohn Anne-Marie</w:t>
      </w:r>
      <w:r>
        <w:t xml:space="preserve"> (2001)</w:t>
      </w:r>
      <w:r w:rsidRPr="004A16BA">
        <w:t xml:space="preserve">, </w:t>
      </w:r>
      <w:r>
        <w:rPr>
          <w:i/>
          <w:iCs/>
        </w:rPr>
        <w:t>Â</w:t>
      </w:r>
      <w:r w:rsidRPr="004A16BA">
        <w:rPr>
          <w:i/>
          <w:iCs/>
        </w:rPr>
        <w:t>ge tendre et tête de bois</w:t>
      </w:r>
      <w:r>
        <w:rPr>
          <w:i/>
          <w:iCs/>
        </w:rPr>
        <w:t>. H</w:t>
      </w:r>
      <w:r w:rsidRPr="004A16BA">
        <w:rPr>
          <w:i/>
          <w:iCs/>
        </w:rPr>
        <w:t>istoire des jeunes des</w:t>
      </w:r>
      <w:r>
        <w:rPr>
          <w:i/>
          <w:iCs/>
        </w:rPr>
        <w:t xml:space="preserve"> années</w:t>
      </w:r>
      <w:r w:rsidRPr="004A16BA">
        <w:rPr>
          <w:i/>
          <w:iCs/>
        </w:rPr>
        <w:t xml:space="preserve"> 1960</w:t>
      </w:r>
      <w:r w:rsidRPr="004A16BA">
        <w:t xml:space="preserve">, Paris, </w:t>
      </w:r>
      <w:r>
        <w:t>Hachette littératures</w:t>
      </w:r>
      <w:r w:rsidRPr="004A16BA">
        <w:t xml:space="preserve">, </w:t>
      </w:r>
      <w:r>
        <w:t>coll. « La vie quotidienne »</w:t>
      </w:r>
      <w:r w:rsidRPr="004A16BA">
        <w:t>.</w:t>
      </w:r>
    </w:p>
    <w:p w14:paraId="5CCAEB09" w14:textId="77777777" w:rsidR="001C47CE" w:rsidRPr="004A16BA" w:rsidRDefault="001C47CE" w:rsidP="001C47CE">
      <w:pPr>
        <w:ind w:left="567" w:hanging="567"/>
        <w:jc w:val="both"/>
      </w:pPr>
      <w:r w:rsidRPr="004A16BA">
        <w:t>Stucky Olivier</w:t>
      </w:r>
      <w:r>
        <w:t xml:space="preserve"> (2022)</w:t>
      </w:r>
      <w:r w:rsidRPr="004A16BA">
        <w:t xml:space="preserve">, « Repenser l’album à l’ère du multimédia (1995-1998) : reconfigurer la bande-dessinée pour le CD-ROM », </w:t>
      </w:r>
      <w:r w:rsidRPr="004A16BA">
        <w:rPr>
          <w:i/>
          <w:iCs/>
        </w:rPr>
        <w:t>Comicalités. Études de culture graphique</w:t>
      </w:r>
      <w:r w:rsidRPr="004A16BA">
        <w:t xml:space="preserve">, </w:t>
      </w:r>
      <w:r>
        <w:t xml:space="preserve">dossier « Bande dessinée et culture matérielle », </w:t>
      </w:r>
      <w:hyperlink r:id="rId20" w:history="1">
        <w:r>
          <w:rPr>
            <w:rStyle w:val="Lienhypertexte"/>
            <w:rFonts w:eastAsiaTheme="majorEastAsia"/>
          </w:rPr>
          <w:t>https://doi.org/10.4000/comicalites.7041</w:t>
        </w:r>
      </w:hyperlink>
      <w:r>
        <w:t xml:space="preserve">. </w:t>
      </w:r>
    </w:p>
    <w:p w14:paraId="6FA79986" w14:textId="77777777" w:rsidR="001C47CE" w:rsidRPr="004A16BA" w:rsidRDefault="001C47CE" w:rsidP="001C47CE">
      <w:pPr>
        <w:ind w:left="567" w:hanging="567"/>
        <w:jc w:val="both"/>
      </w:pPr>
      <w:r w:rsidRPr="004A16BA">
        <w:t>Thérenty Marie-Ève</w:t>
      </w:r>
      <w:r>
        <w:t xml:space="preserve"> (2010)</w:t>
      </w:r>
      <w:r w:rsidRPr="004A16BA">
        <w:t xml:space="preserve">, « Poétique historique du support et énonciation éditoriale : la case feuilleton au </w:t>
      </w:r>
      <w:r>
        <w:rPr>
          <w:smallCaps/>
        </w:rPr>
        <w:t>xix</w:t>
      </w:r>
      <w:r w:rsidRPr="00F34799">
        <w:rPr>
          <w:vertAlign w:val="superscript"/>
        </w:rPr>
        <w:t>e</w:t>
      </w:r>
      <w:r w:rsidRPr="004A16BA">
        <w:t xml:space="preserve"> siècle », </w:t>
      </w:r>
      <w:r w:rsidRPr="004A16BA">
        <w:rPr>
          <w:i/>
          <w:iCs/>
        </w:rPr>
        <w:t>Communication &amp; Langages</w:t>
      </w:r>
      <w:r w:rsidRPr="004A16BA">
        <w:t xml:space="preserve">, </w:t>
      </w:r>
      <w:r>
        <w:t>n° 166/4,</w:t>
      </w:r>
      <w:r w:rsidRPr="004A16BA">
        <w:t xml:space="preserve"> p. 3</w:t>
      </w:r>
      <w:r w:rsidRPr="004A16BA">
        <w:noBreakHyphen/>
        <w:t>19</w:t>
      </w:r>
      <w:r>
        <w:t xml:space="preserve">, </w:t>
      </w:r>
      <w:hyperlink r:id="rId21" w:history="1">
        <w:r>
          <w:rPr>
            <w:rStyle w:val="Lienhypertexte"/>
            <w:rFonts w:eastAsiaTheme="majorEastAsia"/>
          </w:rPr>
          <w:t>https://doi.org/10.4074/S0336150010014018</w:t>
        </w:r>
      </w:hyperlink>
      <w:r>
        <w:t>.</w:t>
      </w:r>
    </w:p>
    <w:p w14:paraId="60DABF69" w14:textId="2B41AF1B" w:rsidR="001C47CE" w:rsidRDefault="001C47CE" w:rsidP="001C47CE">
      <w:pPr>
        <w:ind w:left="567" w:hanging="567"/>
        <w:jc w:val="both"/>
      </w:pPr>
      <w:r w:rsidRPr="004A16BA">
        <w:t>Tournès Ludovic</w:t>
      </w:r>
      <w:r>
        <w:t xml:space="preserve"> (2006)</w:t>
      </w:r>
      <w:r w:rsidRPr="004A16BA">
        <w:t>, « Le temps maîtrisé</w:t>
      </w:r>
      <w:r>
        <w:t xml:space="preserve">. </w:t>
      </w:r>
      <w:r w:rsidRPr="004A16BA">
        <w:t xml:space="preserve">L’enregistrement sonore et les mutations de la sensibilité musicale », </w:t>
      </w:r>
      <w:r w:rsidRPr="004A16BA">
        <w:rPr>
          <w:i/>
          <w:iCs/>
        </w:rPr>
        <w:t>Vingtième Siècle. Revue d’histoire</w:t>
      </w:r>
      <w:r w:rsidRPr="004A16BA">
        <w:t xml:space="preserve">, </w:t>
      </w:r>
      <w:r>
        <w:t>n° 92</w:t>
      </w:r>
      <w:r w:rsidRPr="004A16BA">
        <w:t>, 2006, p. 5</w:t>
      </w:r>
      <w:r w:rsidRPr="004A16BA">
        <w:noBreakHyphen/>
        <w:t xml:space="preserve">15, </w:t>
      </w:r>
      <w:hyperlink r:id="rId22" w:history="1">
        <w:r>
          <w:rPr>
            <w:rStyle w:val="Lienhypertexte"/>
            <w:rFonts w:eastAsiaTheme="majorEastAsia"/>
          </w:rPr>
          <w:t>https://doi.org/10.3917/ving.092.0005</w:t>
        </w:r>
      </w:hyperlink>
      <w:r>
        <w:t>.</w:t>
      </w:r>
    </w:p>
    <w:p w14:paraId="35AC9DCB" w14:textId="77777777" w:rsidR="00626FFE" w:rsidRPr="0022344D" w:rsidRDefault="00626FFE" w:rsidP="008D1D0F">
      <w:pPr>
        <w:jc w:val="both"/>
      </w:pPr>
    </w:p>
    <w:sectPr w:rsidR="00626FFE" w:rsidRPr="00223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351AD"/>
    <w:multiLevelType w:val="hybridMultilevel"/>
    <w:tmpl w:val="24705366"/>
    <w:lvl w:ilvl="0" w:tplc="658043EA">
      <w:start w:val="1"/>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0A4892"/>
    <w:multiLevelType w:val="hybridMultilevel"/>
    <w:tmpl w:val="B2CCAD0E"/>
    <w:lvl w:ilvl="0" w:tplc="658043EA">
      <w:start w:val="1"/>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966DAB"/>
    <w:multiLevelType w:val="hybridMultilevel"/>
    <w:tmpl w:val="177C6270"/>
    <w:lvl w:ilvl="0" w:tplc="658043EA">
      <w:start w:val="1"/>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9933870">
    <w:abstractNumId w:val="0"/>
  </w:num>
  <w:num w:numId="2" w16cid:durableId="1667398567">
    <w:abstractNumId w:val="1"/>
  </w:num>
  <w:num w:numId="3" w16cid:durableId="2007896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30"/>
    <w:rsid w:val="00011F37"/>
    <w:rsid w:val="00040263"/>
    <w:rsid w:val="00053F8B"/>
    <w:rsid w:val="00055477"/>
    <w:rsid w:val="00075DC3"/>
    <w:rsid w:val="00095043"/>
    <w:rsid w:val="000A2052"/>
    <w:rsid w:val="000D12BC"/>
    <w:rsid w:val="000D26EE"/>
    <w:rsid w:val="000E2293"/>
    <w:rsid w:val="001162D9"/>
    <w:rsid w:val="00125526"/>
    <w:rsid w:val="0012728D"/>
    <w:rsid w:val="00135D84"/>
    <w:rsid w:val="00151262"/>
    <w:rsid w:val="00154952"/>
    <w:rsid w:val="00162941"/>
    <w:rsid w:val="001646B9"/>
    <w:rsid w:val="0017051A"/>
    <w:rsid w:val="0017282F"/>
    <w:rsid w:val="001836EB"/>
    <w:rsid w:val="0018788E"/>
    <w:rsid w:val="001939F7"/>
    <w:rsid w:val="001A6135"/>
    <w:rsid w:val="001B3A0D"/>
    <w:rsid w:val="001B3C07"/>
    <w:rsid w:val="001C47CE"/>
    <w:rsid w:val="001D3EA3"/>
    <w:rsid w:val="002044A3"/>
    <w:rsid w:val="00206D83"/>
    <w:rsid w:val="00216725"/>
    <w:rsid w:val="00220B20"/>
    <w:rsid w:val="00221F6A"/>
    <w:rsid w:val="0022344D"/>
    <w:rsid w:val="002442E6"/>
    <w:rsid w:val="00244964"/>
    <w:rsid w:val="00264ACC"/>
    <w:rsid w:val="00270EEA"/>
    <w:rsid w:val="002768CC"/>
    <w:rsid w:val="00286E96"/>
    <w:rsid w:val="002945E4"/>
    <w:rsid w:val="002951E7"/>
    <w:rsid w:val="002B7AB2"/>
    <w:rsid w:val="002E3977"/>
    <w:rsid w:val="002E4FB7"/>
    <w:rsid w:val="002F4207"/>
    <w:rsid w:val="00301CDE"/>
    <w:rsid w:val="00303492"/>
    <w:rsid w:val="003035B2"/>
    <w:rsid w:val="00310694"/>
    <w:rsid w:val="00313D67"/>
    <w:rsid w:val="00333FCF"/>
    <w:rsid w:val="00344E7F"/>
    <w:rsid w:val="003478D2"/>
    <w:rsid w:val="00352422"/>
    <w:rsid w:val="003648A7"/>
    <w:rsid w:val="003773E0"/>
    <w:rsid w:val="00387B9F"/>
    <w:rsid w:val="003A1C8E"/>
    <w:rsid w:val="003A532F"/>
    <w:rsid w:val="003C11D7"/>
    <w:rsid w:val="00432182"/>
    <w:rsid w:val="00457773"/>
    <w:rsid w:val="00461FC8"/>
    <w:rsid w:val="0047034F"/>
    <w:rsid w:val="004940FA"/>
    <w:rsid w:val="004A68B5"/>
    <w:rsid w:val="004B2E23"/>
    <w:rsid w:val="004B7FF8"/>
    <w:rsid w:val="004E6A3B"/>
    <w:rsid w:val="004F20FE"/>
    <w:rsid w:val="004F7AC7"/>
    <w:rsid w:val="00502287"/>
    <w:rsid w:val="00503531"/>
    <w:rsid w:val="00513657"/>
    <w:rsid w:val="00520E26"/>
    <w:rsid w:val="00523ED3"/>
    <w:rsid w:val="005277E5"/>
    <w:rsid w:val="00540DB1"/>
    <w:rsid w:val="00545502"/>
    <w:rsid w:val="00554308"/>
    <w:rsid w:val="00556E96"/>
    <w:rsid w:val="00563911"/>
    <w:rsid w:val="00576F2B"/>
    <w:rsid w:val="0058660B"/>
    <w:rsid w:val="0059403B"/>
    <w:rsid w:val="005B2A31"/>
    <w:rsid w:val="005B3221"/>
    <w:rsid w:val="005B38E4"/>
    <w:rsid w:val="005C0028"/>
    <w:rsid w:val="005C14B5"/>
    <w:rsid w:val="005C35D2"/>
    <w:rsid w:val="005C5262"/>
    <w:rsid w:val="0061055D"/>
    <w:rsid w:val="00621447"/>
    <w:rsid w:val="00626FFE"/>
    <w:rsid w:val="00641AB5"/>
    <w:rsid w:val="0065447B"/>
    <w:rsid w:val="00663B63"/>
    <w:rsid w:val="00681E00"/>
    <w:rsid w:val="006837B6"/>
    <w:rsid w:val="00686BAD"/>
    <w:rsid w:val="00686BE2"/>
    <w:rsid w:val="006911D3"/>
    <w:rsid w:val="00694382"/>
    <w:rsid w:val="00695BC6"/>
    <w:rsid w:val="006A692B"/>
    <w:rsid w:val="006B0FC8"/>
    <w:rsid w:val="006B506B"/>
    <w:rsid w:val="006C5E23"/>
    <w:rsid w:val="006D1157"/>
    <w:rsid w:val="006E111E"/>
    <w:rsid w:val="006E50FD"/>
    <w:rsid w:val="00707CFE"/>
    <w:rsid w:val="00712C3B"/>
    <w:rsid w:val="007140F4"/>
    <w:rsid w:val="00736351"/>
    <w:rsid w:val="00752D1F"/>
    <w:rsid w:val="007578A4"/>
    <w:rsid w:val="00771367"/>
    <w:rsid w:val="00771C8E"/>
    <w:rsid w:val="00773150"/>
    <w:rsid w:val="00777474"/>
    <w:rsid w:val="00780B58"/>
    <w:rsid w:val="00782230"/>
    <w:rsid w:val="00785DC8"/>
    <w:rsid w:val="0078787A"/>
    <w:rsid w:val="007C60EC"/>
    <w:rsid w:val="007D3BF2"/>
    <w:rsid w:val="007F75F8"/>
    <w:rsid w:val="008046E5"/>
    <w:rsid w:val="00805E6B"/>
    <w:rsid w:val="00811207"/>
    <w:rsid w:val="00863AB9"/>
    <w:rsid w:val="008756A5"/>
    <w:rsid w:val="00887658"/>
    <w:rsid w:val="00887825"/>
    <w:rsid w:val="008A319D"/>
    <w:rsid w:val="008A5E88"/>
    <w:rsid w:val="008A5FAB"/>
    <w:rsid w:val="008B3620"/>
    <w:rsid w:val="008C1260"/>
    <w:rsid w:val="008C63DC"/>
    <w:rsid w:val="008C796D"/>
    <w:rsid w:val="008D1D0F"/>
    <w:rsid w:val="008D5B4F"/>
    <w:rsid w:val="008E266F"/>
    <w:rsid w:val="008E5B87"/>
    <w:rsid w:val="00901A05"/>
    <w:rsid w:val="00903C4B"/>
    <w:rsid w:val="0091289D"/>
    <w:rsid w:val="00961F95"/>
    <w:rsid w:val="00977DC6"/>
    <w:rsid w:val="0098376C"/>
    <w:rsid w:val="009A4398"/>
    <w:rsid w:val="009B1596"/>
    <w:rsid w:val="009C4604"/>
    <w:rsid w:val="009D73DD"/>
    <w:rsid w:val="009E3DFB"/>
    <w:rsid w:val="009F4DFF"/>
    <w:rsid w:val="00A02CBA"/>
    <w:rsid w:val="00A17BCB"/>
    <w:rsid w:val="00A4607C"/>
    <w:rsid w:val="00A50447"/>
    <w:rsid w:val="00A55BF2"/>
    <w:rsid w:val="00A938D0"/>
    <w:rsid w:val="00AA1A06"/>
    <w:rsid w:val="00AA4688"/>
    <w:rsid w:val="00AC4027"/>
    <w:rsid w:val="00AC420C"/>
    <w:rsid w:val="00AD3FD8"/>
    <w:rsid w:val="00AD519C"/>
    <w:rsid w:val="00AF329B"/>
    <w:rsid w:val="00AF4D5F"/>
    <w:rsid w:val="00B03F6A"/>
    <w:rsid w:val="00B149B0"/>
    <w:rsid w:val="00B21067"/>
    <w:rsid w:val="00B273F9"/>
    <w:rsid w:val="00B31DE8"/>
    <w:rsid w:val="00B347E5"/>
    <w:rsid w:val="00B72EC5"/>
    <w:rsid w:val="00B75969"/>
    <w:rsid w:val="00B8534A"/>
    <w:rsid w:val="00B94B50"/>
    <w:rsid w:val="00B96D5C"/>
    <w:rsid w:val="00B97F0D"/>
    <w:rsid w:val="00BA5D60"/>
    <w:rsid w:val="00BB463D"/>
    <w:rsid w:val="00BD4AFB"/>
    <w:rsid w:val="00C0371F"/>
    <w:rsid w:val="00C074AC"/>
    <w:rsid w:val="00C17F7F"/>
    <w:rsid w:val="00C25A90"/>
    <w:rsid w:val="00C319EB"/>
    <w:rsid w:val="00C8424B"/>
    <w:rsid w:val="00C9133E"/>
    <w:rsid w:val="00C95AFF"/>
    <w:rsid w:val="00CA7D63"/>
    <w:rsid w:val="00CC6915"/>
    <w:rsid w:val="00CD3E31"/>
    <w:rsid w:val="00D202A6"/>
    <w:rsid w:val="00D21917"/>
    <w:rsid w:val="00D4603C"/>
    <w:rsid w:val="00D609B6"/>
    <w:rsid w:val="00D60C61"/>
    <w:rsid w:val="00D725F1"/>
    <w:rsid w:val="00E05EFC"/>
    <w:rsid w:val="00E10C72"/>
    <w:rsid w:val="00E24703"/>
    <w:rsid w:val="00E42D29"/>
    <w:rsid w:val="00E4700F"/>
    <w:rsid w:val="00E90141"/>
    <w:rsid w:val="00E925D2"/>
    <w:rsid w:val="00EC2E65"/>
    <w:rsid w:val="00EC3020"/>
    <w:rsid w:val="00EE09E3"/>
    <w:rsid w:val="00EF2C8F"/>
    <w:rsid w:val="00EF6F38"/>
    <w:rsid w:val="00F155E3"/>
    <w:rsid w:val="00F2723E"/>
    <w:rsid w:val="00F330A7"/>
    <w:rsid w:val="00F67E03"/>
    <w:rsid w:val="00F72F03"/>
    <w:rsid w:val="00F81191"/>
    <w:rsid w:val="00F82DCB"/>
    <w:rsid w:val="00F83947"/>
    <w:rsid w:val="00F9175D"/>
    <w:rsid w:val="00F94C0D"/>
    <w:rsid w:val="00FC1063"/>
    <w:rsid w:val="00FC4FCE"/>
    <w:rsid w:val="00FE49EB"/>
    <w:rsid w:val="00FF5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522"/>
  <w15:chartTrackingRefBased/>
  <w15:docId w15:val="{B0FCC570-3D44-3B46-97A1-A8DE9A4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B6"/>
    <w:pPr>
      <w:spacing w:after="0" w:line="240" w:lineRule="auto"/>
    </w:pPr>
    <w:rPr>
      <w:rFonts w:ascii="Times New Roman" w:hAnsi="Times New Roman"/>
    </w:rPr>
  </w:style>
  <w:style w:type="paragraph" w:styleId="Titre1">
    <w:name w:val="heading 1"/>
    <w:basedOn w:val="Normal"/>
    <w:next w:val="Normal"/>
    <w:link w:val="Titre1Car"/>
    <w:uiPriority w:val="9"/>
    <w:qFormat/>
    <w:rsid w:val="00782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2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22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22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782230"/>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82230"/>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82230"/>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82230"/>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82230"/>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22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22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22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22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22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22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22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22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2230"/>
    <w:rPr>
      <w:rFonts w:eastAsiaTheme="majorEastAsia" w:cstheme="majorBidi"/>
      <w:color w:val="272727" w:themeColor="text1" w:themeTint="D8"/>
    </w:rPr>
  </w:style>
  <w:style w:type="paragraph" w:styleId="Titre">
    <w:name w:val="Title"/>
    <w:basedOn w:val="Normal"/>
    <w:next w:val="Normal"/>
    <w:link w:val="TitreCar"/>
    <w:uiPriority w:val="10"/>
    <w:qFormat/>
    <w:rsid w:val="0078223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22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22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22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223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82230"/>
    <w:rPr>
      <w:rFonts w:ascii="Times New Roman" w:hAnsi="Times New Roman"/>
      <w:i/>
      <w:iCs/>
      <w:color w:val="404040" w:themeColor="text1" w:themeTint="BF"/>
    </w:rPr>
  </w:style>
  <w:style w:type="paragraph" w:styleId="Paragraphedeliste">
    <w:name w:val="List Paragraph"/>
    <w:basedOn w:val="Normal"/>
    <w:uiPriority w:val="34"/>
    <w:qFormat/>
    <w:rsid w:val="00782230"/>
    <w:pPr>
      <w:ind w:left="720"/>
      <w:contextualSpacing/>
    </w:pPr>
  </w:style>
  <w:style w:type="character" w:styleId="Accentuationintense">
    <w:name w:val="Intense Emphasis"/>
    <w:basedOn w:val="Policepardfaut"/>
    <w:uiPriority w:val="21"/>
    <w:qFormat/>
    <w:rsid w:val="00782230"/>
    <w:rPr>
      <w:i/>
      <w:iCs/>
      <w:color w:val="0F4761" w:themeColor="accent1" w:themeShade="BF"/>
    </w:rPr>
  </w:style>
  <w:style w:type="paragraph" w:styleId="Citationintense">
    <w:name w:val="Intense Quote"/>
    <w:basedOn w:val="Normal"/>
    <w:next w:val="Normal"/>
    <w:link w:val="CitationintenseCar"/>
    <w:uiPriority w:val="30"/>
    <w:qFormat/>
    <w:rsid w:val="00782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2230"/>
    <w:rPr>
      <w:rFonts w:ascii="Times New Roman" w:hAnsi="Times New Roman"/>
      <w:i/>
      <w:iCs/>
      <w:color w:val="0F4761" w:themeColor="accent1" w:themeShade="BF"/>
    </w:rPr>
  </w:style>
  <w:style w:type="character" w:styleId="Rfrenceintense">
    <w:name w:val="Intense Reference"/>
    <w:basedOn w:val="Policepardfaut"/>
    <w:uiPriority w:val="32"/>
    <w:qFormat/>
    <w:rsid w:val="00782230"/>
    <w:rPr>
      <w:b/>
      <w:bCs/>
      <w:smallCaps/>
      <w:color w:val="0F4761" w:themeColor="accent1" w:themeShade="BF"/>
      <w:spacing w:val="5"/>
    </w:rPr>
  </w:style>
  <w:style w:type="character" w:styleId="Lienhypertexte">
    <w:name w:val="Hyperlink"/>
    <w:basedOn w:val="Policepardfaut"/>
    <w:uiPriority w:val="99"/>
    <w:unhideWhenUsed/>
    <w:rsid w:val="00F94C0D"/>
    <w:rPr>
      <w:color w:val="467886" w:themeColor="hyperlink"/>
      <w:u w:val="single"/>
    </w:rPr>
  </w:style>
  <w:style w:type="character" w:styleId="Mentionnonrsolue">
    <w:name w:val="Unresolved Mention"/>
    <w:basedOn w:val="Policepardfaut"/>
    <w:uiPriority w:val="99"/>
    <w:semiHidden/>
    <w:unhideWhenUsed/>
    <w:rsid w:val="00F94C0D"/>
    <w:rPr>
      <w:color w:val="605E5C"/>
      <w:shd w:val="clear" w:color="auto" w:fill="E1DFDD"/>
    </w:rPr>
  </w:style>
  <w:style w:type="character" w:styleId="lev">
    <w:name w:val="Strong"/>
    <w:basedOn w:val="Policepardfaut"/>
    <w:uiPriority w:val="22"/>
    <w:qFormat/>
    <w:rsid w:val="0098376C"/>
    <w:rPr>
      <w:b/>
      <w:bCs/>
    </w:rPr>
  </w:style>
  <w:style w:type="character" w:customStyle="1" w:styleId="familyname">
    <w:name w:val="familyname"/>
    <w:basedOn w:val="Policepardfaut"/>
    <w:rsid w:val="0098376C"/>
  </w:style>
  <w:style w:type="character" w:styleId="Accentuation">
    <w:name w:val="Emphasis"/>
    <w:basedOn w:val="Policepardfaut"/>
    <w:uiPriority w:val="20"/>
    <w:qFormat/>
    <w:rsid w:val="0098376C"/>
    <w:rPr>
      <w:i/>
      <w:iCs/>
    </w:rPr>
  </w:style>
  <w:style w:type="character" w:styleId="Marquedecommentaire">
    <w:name w:val="annotation reference"/>
    <w:basedOn w:val="Policepardfaut"/>
    <w:uiPriority w:val="99"/>
    <w:semiHidden/>
    <w:unhideWhenUsed/>
    <w:rsid w:val="00C9133E"/>
    <w:rPr>
      <w:sz w:val="16"/>
      <w:szCs w:val="16"/>
    </w:rPr>
  </w:style>
  <w:style w:type="paragraph" w:styleId="Commentaire">
    <w:name w:val="annotation text"/>
    <w:basedOn w:val="Normal"/>
    <w:link w:val="CommentaireCar"/>
    <w:uiPriority w:val="99"/>
    <w:semiHidden/>
    <w:unhideWhenUsed/>
    <w:rsid w:val="00C9133E"/>
    <w:rPr>
      <w:sz w:val="20"/>
      <w:szCs w:val="20"/>
    </w:rPr>
  </w:style>
  <w:style w:type="character" w:customStyle="1" w:styleId="CommentaireCar">
    <w:name w:val="Commentaire Car"/>
    <w:basedOn w:val="Policepardfaut"/>
    <w:link w:val="Commentaire"/>
    <w:uiPriority w:val="99"/>
    <w:semiHidden/>
    <w:rsid w:val="00C9133E"/>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9133E"/>
    <w:rPr>
      <w:b/>
      <w:bCs/>
    </w:rPr>
  </w:style>
  <w:style w:type="character" w:customStyle="1" w:styleId="ObjetducommentaireCar">
    <w:name w:val="Objet du commentaire Car"/>
    <w:basedOn w:val="CommentaireCar"/>
    <w:link w:val="Objetducommentaire"/>
    <w:uiPriority w:val="99"/>
    <w:semiHidden/>
    <w:rsid w:val="00C9133E"/>
    <w:rPr>
      <w:rFonts w:ascii="Times New Roman" w:hAnsi="Times New Roman"/>
      <w:b/>
      <w:bCs/>
      <w:sz w:val="20"/>
      <w:szCs w:val="20"/>
    </w:rPr>
  </w:style>
  <w:style w:type="paragraph" w:styleId="Textedebulles">
    <w:name w:val="Balloon Text"/>
    <w:basedOn w:val="Normal"/>
    <w:link w:val="TextedebullesCar"/>
    <w:uiPriority w:val="99"/>
    <w:semiHidden/>
    <w:unhideWhenUsed/>
    <w:rsid w:val="00F272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723E"/>
    <w:rPr>
      <w:rFonts w:ascii="Segoe UI" w:hAnsi="Segoe UI" w:cs="Segoe UI"/>
      <w:sz w:val="18"/>
      <w:szCs w:val="18"/>
    </w:rPr>
  </w:style>
  <w:style w:type="paragraph" w:styleId="Rvision">
    <w:name w:val="Revision"/>
    <w:hidden/>
    <w:uiPriority w:val="99"/>
    <w:semiHidden/>
    <w:rsid w:val="009D73D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5601">
      <w:bodyDiv w:val="1"/>
      <w:marLeft w:val="0"/>
      <w:marRight w:val="0"/>
      <w:marTop w:val="0"/>
      <w:marBottom w:val="0"/>
      <w:divBdr>
        <w:top w:val="none" w:sz="0" w:space="0" w:color="auto"/>
        <w:left w:val="none" w:sz="0" w:space="0" w:color="auto"/>
        <w:bottom w:val="none" w:sz="0" w:space="0" w:color="auto"/>
        <w:right w:val="none" w:sz="0" w:space="0" w:color="auto"/>
      </w:divBdr>
      <w:divsChild>
        <w:div w:id="1091050395">
          <w:marLeft w:val="0"/>
          <w:marRight w:val="0"/>
          <w:marTop w:val="0"/>
          <w:marBottom w:val="0"/>
          <w:divBdr>
            <w:top w:val="none" w:sz="0" w:space="0" w:color="auto"/>
            <w:left w:val="none" w:sz="0" w:space="0" w:color="auto"/>
            <w:bottom w:val="none" w:sz="0" w:space="0" w:color="auto"/>
            <w:right w:val="none" w:sz="0" w:space="0" w:color="auto"/>
          </w:divBdr>
          <w:divsChild>
            <w:div w:id="1158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338">
      <w:bodyDiv w:val="1"/>
      <w:marLeft w:val="0"/>
      <w:marRight w:val="0"/>
      <w:marTop w:val="0"/>
      <w:marBottom w:val="0"/>
      <w:divBdr>
        <w:top w:val="none" w:sz="0" w:space="0" w:color="auto"/>
        <w:left w:val="none" w:sz="0" w:space="0" w:color="auto"/>
        <w:bottom w:val="none" w:sz="0" w:space="0" w:color="auto"/>
        <w:right w:val="none" w:sz="0" w:space="0" w:color="auto"/>
      </w:divBdr>
      <w:divsChild>
        <w:div w:id="346257487">
          <w:marLeft w:val="0"/>
          <w:marRight w:val="0"/>
          <w:marTop w:val="0"/>
          <w:marBottom w:val="0"/>
          <w:divBdr>
            <w:top w:val="none" w:sz="0" w:space="0" w:color="auto"/>
            <w:left w:val="none" w:sz="0" w:space="0" w:color="auto"/>
            <w:bottom w:val="none" w:sz="0" w:space="0" w:color="auto"/>
            <w:right w:val="none" w:sz="0" w:space="0" w:color="auto"/>
          </w:divBdr>
          <w:divsChild>
            <w:div w:id="16907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7519">
      <w:bodyDiv w:val="1"/>
      <w:marLeft w:val="0"/>
      <w:marRight w:val="0"/>
      <w:marTop w:val="0"/>
      <w:marBottom w:val="0"/>
      <w:divBdr>
        <w:top w:val="none" w:sz="0" w:space="0" w:color="auto"/>
        <w:left w:val="none" w:sz="0" w:space="0" w:color="auto"/>
        <w:bottom w:val="none" w:sz="0" w:space="0" w:color="auto"/>
        <w:right w:val="none" w:sz="0" w:space="0" w:color="auto"/>
      </w:divBdr>
      <w:divsChild>
        <w:div w:id="830758976">
          <w:marLeft w:val="0"/>
          <w:marRight w:val="0"/>
          <w:marTop w:val="0"/>
          <w:marBottom w:val="0"/>
          <w:divBdr>
            <w:top w:val="none" w:sz="0" w:space="0" w:color="auto"/>
            <w:left w:val="none" w:sz="0" w:space="0" w:color="auto"/>
            <w:bottom w:val="none" w:sz="0" w:space="0" w:color="auto"/>
            <w:right w:val="none" w:sz="0" w:space="0" w:color="auto"/>
          </w:divBdr>
          <w:divsChild>
            <w:div w:id="6677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2474">
      <w:bodyDiv w:val="1"/>
      <w:marLeft w:val="0"/>
      <w:marRight w:val="0"/>
      <w:marTop w:val="0"/>
      <w:marBottom w:val="0"/>
      <w:divBdr>
        <w:top w:val="none" w:sz="0" w:space="0" w:color="auto"/>
        <w:left w:val="none" w:sz="0" w:space="0" w:color="auto"/>
        <w:bottom w:val="none" w:sz="0" w:space="0" w:color="auto"/>
        <w:right w:val="none" w:sz="0" w:space="0" w:color="auto"/>
      </w:divBdr>
      <w:divsChild>
        <w:div w:id="644705449">
          <w:marLeft w:val="0"/>
          <w:marRight w:val="0"/>
          <w:marTop w:val="0"/>
          <w:marBottom w:val="0"/>
          <w:divBdr>
            <w:top w:val="none" w:sz="0" w:space="0" w:color="auto"/>
            <w:left w:val="none" w:sz="0" w:space="0" w:color="auto"/>
            <w:bottom w:val="none" w:sz="0" w:space="0" w:color="auto"/>
            <w:right w:val="none" w:sz="0" w:space="0" w:color="auto"/>
          </w:divBdr>
          <w:divsChild>
            <w:div w:id="3695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1196">
      <w:bodyDiv w:val="1"/>
      <w:marLeft w:val="0"/>
      <w:marRight w:val="0"/>
      <w:marTop w:val="0"/>
      <w:marBottom w:val="0"/>
      <w:divBdr>
        <w:top w:val="none" w:sz="0" w:space="0" w:color="auto"/>
        <w:left w:val="none" w:sz="0" w:space="0" w:color="auto"/>
        <w:bottom w:val="none" w:sz="0" w:space="0" w:color="auto"/>
        <w:right w:val="none" w:sz="0" w:space="0" w:color="auto"/>
      </w:divBdr>
      <w:divsChild>
        <w:div w:id="453795840">
          <w:marLeft w:val="0"/>
          <w:marRight w:val="0"/>
          <w:marTop w:val="0"/>
          <w:marBottom w:val="0"/>
          <w:divBdr>
            <w:top w:val="none" w:sz="0" w:space="0" w:color="auto"/>
            <w:left w:val="none" w:sz="0" w:space="0" w:color="auto"/>
            <w:bottom w:val="none" w:sz="0" w:space="0" w:color="auto"/>
            <w:right w:val="none" w:sz="0" w:space="0" w:color="auto"/>
          </w:divBdr>
          <w:divsChild>
            <w:div w:id="7090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ugaeditions/10362" TargetMode="External"/><Relationship Id="rId13" Type="http://schemas.openxmlformats.org/officeDocument/2006/relationships/hyperlink" Target="https://doi.org/10.3917/sr.049.0119" TargetMode="External"/><Relationship Id="rId18" Type="http://schemas.openxmlformats.org/officeDocument/2006/relationships/hyperlink" Target="https://doi.org/10.3917/sr.056.0213" TargetMode="External"/><Relationship Id="rId3" Type="http://schemas.openxmlformats.org/officeDocument/2006/relationships/settings" Target="settings.xml"/><Relationship Id="rId21" Type="http://schemas.openxmlformats.org/officeDocument/2006/relationships/hyperlink" Target="https://doi.org/10.4074/S0336150010014018" TargetMode="External"/><Relationship Id="rId7" Type="http://schemas.openxmlformats.org/officeDocument/2006/relationships/hyperlink" Target="https://doi.org/10.3917/herm.070.0040" TargetMode="External"/><Relationship Id="rId12" Type="http://schemas.openxmlformats.org/officeDocument/2006/relationships/hyperlink" Target="https://doi.org/10.3917/mult.062.0159" TargetMode="External"/><Relationship Id="rId17" Type="http://schemas.openxmlformats.org/officeDocument/2006/relationships/hyperlink" Target="https://www.digitalmcd.com/mcd-75-archeologie-des-media/" TargetMode="External"/><Relationship Id="rId2" Type="http://schemas.openxmlformats.org/officeDocument/2006/relationships/styles" Target="styles.xml"/><Relationship Id="rId16" Type="http://schemas.openxmlformats.org/officeDocument/2006/relationships/hyperlink" Target="https://doi.org/10.4000/1895.1242" TargetMode="External"/><Relationship Id="rId20" Type="http://schemas.openxmlformats.org/officeDocument/2006/relationships/hyperlink" Target="https://doi.org/10.4000/comicalites.7041" TargetMode="External"/><Relationship Id="rId1" Type="http://schemas.openxmlformats.org/officeDocument/2006/relationships/numbering" Target="numbering.xml"/><Relationship Id="rId6" Type="http://schemas.openxmlformats.org/officeDocument/2006/relationships/hyperlink" Target="mailto:ajacquel@parisnanterre.fr" TargetMode="External"/><Relationship Id="rId11" Type="http://schemas.openxmlformats.org/officeDocument/2006/relationships/hyperlink" Target="https://doi.org/10.1525/9780520948518" TargetMode="External"/><Relationship Id="rId24" Type="http://schemas.openxmlformats.org/officeDocument/2006/relationships/theme" Target="theme/theme1.xml"/><Relationship Id="rId5" Type="http://schemas.openxmlformats.org/officeDocument/2006/relationships/hyperlink" Target="mailto:ahuz@parisnanterre.fr" TargetMode="External"/><Relationship Id="rId15" Type="http://schemas.openxmlformats.org/officeDocument/2006/relationships/hyperlink" Target="https://doi.org/10.4000/narratologie.14441" TargetMode="External"/><Relationship Id="rId23" Type="http://schemas.openxmlformats.org/officeDocument/2006/relationships/fontTable" Target="fontTable.xml"/><Relationship Id="rId10" Type="http://schemas.openxmlformats.org/officeDocument/2006/relationships/hyperlink" Target="https://doi.org/10.3406/memor.2006.1124" TargetMode="External"/><Relationship Id="rId19" Type="http://schemas.openxmlformats.org/officeDocument/2006/relationships/hyperlink" Target="https://doi.org/10.4000/volume.5544" TargetMode="External"/><Relationship Id="rId4" Type="http://schemas.openxmlformats.org/officeDocument/2006/relationships/webSettings" Target="webSettings.xml"/><Relationship Id="rId9" Type="http://schemas.openxmlformats.org/officeDocument/2006/relationships/hyperlink" Target="https://doi.org/10.1111/j.1467-8365.2005.00479.x" TargetMode="External"/><Relationship Id="rId14" Type="http://schemas.openxmlformats.org/officeDocument/2006/relationships/hyperlink" Target="https://doi.org/10.4000/narratologie.13397" TargetMode="External"/><Relationship Id="rId22" Type="http://schemas.openxmlformats.org/officeDocument/2006/relationships/hyperlink" Target="https://doi.org/10.3917/ving.092.00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2806</Words>
  <Characters>15438</Characters>
  <Application>Microsoft Office Word</Application>
  <DocSecurity>4</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 Aurelie</dc:creator>
  <cp:keywords/>
  <dc:description/>
  <cp:lastModifiedBy>Camille Baron</cp:lastModifiedBy>
  <cp:revision>2</cp:revision>
  <dcterms:created xsi:type="dcterms:W3CDTF">2025-02-24T11:06:00Z</dcterms:created>
  <dcterms:modified xsi:type="dcterms:W3CDTF">2025-02-24T11:06:00Z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2025-02-24T11:06:22Z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a2db4dcb-a075-48e1-9e92-cca961e56e81</vt:lpwstr>
  </property>
  <property fmtid="{D5CDD505-2E9C-101B-9397-08002B2CF9AE}" pid="8" name="MSIP_Label_d5c20be7-c3a5-46e3-9158-fa8a02ce2395_ContentBits">
    <vt:lpwstr>0</vt:lpwstr>
  </property>
  <property fmtid="{D5CDD505-2E9C-101B-9397-08002B2CF9AE}" pid="9" name="MSIP_Label_d5c20be7-c3a5-46e3-9158-fa8a02ce2395_Tag">
    <vt:lpwstr>10, 3, 0, 1</vt:lpwstr>
  </property>
</Properties>
</file>